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4"/>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AA7B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9C38B0E">
            <w:pPr>
              <w:pStyle w:val="23"/>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DBA99B6">
            <w:pPr>
              <w:pStyle w:val="23"/>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93.080</w:t>
            </w:r>
            <w:r>
              <w:rPr>
                <w:rFonts w:ascii="黑体" w:hAnsi="黑体" w:eastAsia="黑体"/>
                <w:sz w:val="21"/>
                <w:szCs w:val="21"/>
              </w:rPr>
              <w:t xml:space="preserve"> </w:t>
            </w:r>
            <w:r>
              <w:rPr>
                <w:rFonts w:ascii="黑体" w:hAnsi="黑体" w:eastAsia="黑体"/>
                <w:sz w:val="21"/>
                <w:szCs w:val="21"/>
              </w:rPr>
              <w:fldChar w:fldCharType="end"/>
            </w:r>
            <w:bookmarkEnd w:id="0"/>
          </w:p>
        </w:tc>
      </w:tr>
      <w:tr w14:paraId="5BB9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3A5CA3">
            <w:pPr>
              <w:pStyle w:val="23"/>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0A00CCAF">
            <w:pPr>
              <w:pStyle w:val="23"/>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P 66</w:t>
            </w:r>
            <w:r>
              <w:rPr>
                <w:rFonts w:ascii="黑体" w:hAnsi="黑体" w:eastAsia="黑体"/>
                <w:sz w:val="21"/>
                <w:szCs w:val="21"/>
              </w:rPr>
              <w:fldChar w:fldCharType="end"/>
            </w:r>
            <w:bookmarkEnd w:id="1"/>
          </w:p>
        </w:tc>
      </w:tr>
    </w:tbl>
    <w:tbl>
      <w:tblPr>
        <w:tblStyle w:val="34"/>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6D73A1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418CF57">
            <w:pPr>
              <w:pStyle w:val="57"/>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14:paraId="29DD2787">
      <w:pPr>
        <w:pStyle w:val="58"/>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山东省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4423A57">
      <w:pPr>
        <w:pStyle w:val="203"/>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BC4DC59">
      <w:pPr>
        <w:pStyle w:val="204"/>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A45F36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897DC03">
      <w:pPr>
        <w:pStyle w:val="58"/>
        <w:framePr w:w="9639" w:h="6976" w:hRule="exact" w:hSpace="0" w:vSpace="0" w:wrap="around" w:hAnchor="page" w:y="6408"/>
        <w:jc w:val="center"/>
        <w:rPr>
          <w:rFonts w:ascii="黑体" w:hAnsi="黑体" w:eastAsia="黑体"/>
          <w:b w:val="0"/>
          <w:bCs w:val="0"/>
          <w:w w:val="100"/>
        </w:rPr>
      </w:pPr>
    </w:p>
    <w:p w14:paraId="14E022E7">
      <w:pPr>
        <w:pStyle w:val="20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公路沥青路面超薄罩面施工技术规范</w:t>
      </w:r>
      <w:r>
        <w:fldChar w:fldCharType="end"/>
      </w:r>
      <w:bookmarkEnd w:id="9"/>
    </w:p>
    <w:p w14:paraId="75A7BA27">
      <w:pPr>
        <w:framePr w:w="9639" w:h="6974" w:hRule="exact" w:wrap="around" w:vAnchor="page" w:hAnchor="page" w:x="1419" w:y="6408" w:anchorLock="1"/>
        <w:ind w:left="-1418"/>
      </w:pPr>
    </w:p>
    <w:p w14:paraId="3E9D59E3">
      <w:pPr>
        <w:pStyle w:val="133"/>
        <w:framePr w:w="9639" w:h="6974" w:hRule="exact" w:wrap="around" w:vAnchor="page" w:hAnchor="page" w:x="1419" w:y="6408" w:anchorLock="1"/>
        <w:textAlignment w:val="bottom"/>
        <w:rPr>
          <w:rFonts w:ascii="黑体" w:hAnsi="黑体" w:eastAsia="黑体"/>
          <w:szCs w:val="28"/>
        </w:rPr>
      </w:pPr>
      <w:bookmarkStart w:id="10" w:name="OLE_LINK3"/>
      <w:r>
        <w:rPr>
          <w:rFonts w:hint="eastAsia" w:ascii="黑体" w:hAnsi="黑体" w:eastAsia="黑体"/>
          <w:szCs w:val="28"/>
        </w:rPr>
        <w:fldChar w:fldCharType="begin">
          <w:ffData>
            <w:name w:val="ESTD_NAME"/>
            <w:enabled/>
            <w:calcOnExit w:val="0"/>
            <w:textInput>
              <w:default w:val="Technical specifications for ultra-thin overlay construction of highway asphalt pavement"/>
            </w:textInput>
          </w:ffData>
        </w:fldChar>
      </w:r>
      <w:bookmarkStart w:id="11" w:name="ESTD_NAME"/>
      <w:r>
        <w:rPr>
          <w:rFonts w:hint="eastAsia" w:ascii="黑体" w:hAnsi="黑体" w:eastAsia="黑体"/>
          <w:szCs w:val="28"/>
        </w:rPr>
        <w:instrText xml:space="preserve"> </w:instrText>
      </w:r>
      <w:r>
        <w:rPr>
          <w:rFonts w:ascii="黑体" w:hAnsi="黑体" w:eastAsia="黑体"/>
          <w:szCs w:val="28"/>
        </w:rPr>
        <w:instrText xml:space="preserve">FORMTEXT</w:instrText>
      </w:r>
      <w:r>
        <w:rPr>
          <w:rFonts w:hint="eastAsia" w:ascii="黑体" w:hAnsi="黑体" w:eastAsia="黑体"/>
          <w:szCs w:val="28"/>
        </w:rPr>
        <w:instrText xml:space="preserve"> </w:instrText>
      </w:r>
      <w:r>
        <w:rPr>
          <w:rFonts w:hint="eastAsia" w:ascii="黑体" w:hAnsi="黑体" w:eastAsia="黑体"/>
          <w:szCs w:val="28"/>
        </w:rPr>
        <w:fldChar w:fldCharType="separate"/>
      </w:r>
      <w:r>
        <w:rPr>
          <w:rFonts w:hint="eastAsia" w:ascii="黑体" w:hAnsi="黑体" w:eastAsia="黑体"/>
          <w:szCs w:val="28"/>
        </w:rPr>
        <w:t>Technical specifications for ultra-thin overlay construction of highway asphalt pavement</w:t>
      </w:r>
      <w:r>
        <w:rPr>
          <w:rFonts w:hint="eastAsia" w:ascii="黑体" w:hAnsi="黑体" w:eastAsia="黑体"/>
          <w:szCs w:val="28"/>
        </w:rPr>
        <w:fldChar w:fldCharType="end"/>
      </w:r>
      <w:bookmarkEnd w:id="11"/>
    </w:p>
    <w:bookmarkEnd w:id="10"/>
    <w:p w14:paraId="358E2CB6">
      <w:pPr>
        <w:framePr w:w="9639" w:h="6974" w:hRule="exact" w:wrap="around" w:vAnchor="page" w:hAnchor="page" w:x="1419" w:y="6408" w:anchorLock="1"/>
        <w:spacing w:line="760" w:lineRule="exact"/>
        <w:ind w:left="-1418"/>
      </w:pPr>
    </w:p>
    <w:p w14:paraId="2A561464">
      <w:pPr>
        <w:pStyle w:val="133"/>
        <w:framePr w:w="9639" w:h="6974" w:hRule="exact" w:wrap="around" w:vAnchor="page" w:hAnchor="page" w:x="1419" w:y="6408" w:anchorLock="1"/>
        <w:textAlignment w:val="bottom"/>
        <w:rPr>
          <w:rFonts w:eastAsia="黑体"/>
          <w:szCs w:val="28"/>
        </w:rPr>
      </w:pPr>
    </w:p>
    <w:p w14:paraId="435904BD">
      <w:pPr>
        <w:pStyle w:val="133"/>
        <w:framePr w:w="9639" w:h="6974" w:hRule="exact" w:wrap="around" w:vAnchor="page" w:hAnchor="page" w:x="1419" w:y="6408" w:anchorLock="1"/>
        <w:spacing w:before="440" w:after="160"/>
        <w:textAlignment w:val="bottom"/>
        <w:rPr>
          <w:sz w:val="24"/>
          <w:szCs w:val="28"/>
        </w:rPr>
      </w:pPr>
      <w:r>
        <w:rPr>
          <w:rFonts w:hint="eastAsia"/>
          <w:sz w:val="24"/>
          <w:szCs w:val="28"/>
        </w:rPr>
        <w:t>（报批稿）</w:t>
      </w:r>
    </w:p>
    <w:p w14:paraId="49179A48">
      <w:pPr>
        <w:pStyle w:val="133"/>
        <w:framePr w:w="9639" w:h="6974" w:hRule="exact" w:wrap="around" w:vAnchor="page" w:hAnchor="page" w:x="1419" w:y="6408" w:anchorLock="1"/>
        <w:spacing w:before="180" w:line="240" w:lineRule="atLeast"/>
        <w:textAlignment w:val="bottom"/>
        <w:rPr>
          <w:sz w:val="21"/>
          <w:szCs w:val="28"/>
        </w:rPr>
      </w:pPr>
    </w:p>
    <w:p w14:paraId="29868AE8">
      <w:pPr>
        <w:pStyle w:val="133"/>
        <w:framePr w:w="9639" w:h="6974" w:hRule="exact" w:wrap="around" w:vAnchor="page" w:hAnchor="page" w:x="1419" w:y="6408" w:anchorLock="1"/>
        <w:spacing w:before="720" w:beforeLines="300" w:after="72" w:afterLines="30" w:line="240" w:lineRule="auto"/>
        <w:textAlignment w:val="bottom"/>
        <w:rPr>
          <w:b/>
          <w:sz w:val="21"/>
          <w:szCs w:val="28"/>
        </w:rPr>
      </w:pPr>
    </w:p>
    <w:p w14:paraId="298BBC73">
      <w:pPr>
        <w:pStyle w:val="20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70C95D45">
      <w:pPr>
        <w:pStyle w:val="20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780C0391">
      <w:pPr>
        <w:pStyle w:val="159"/>
        <w:framePr w:h="584" w:hRule="exact" w:hSpace="181" w:vSpace="181" w:wrap="around" w:y="15027"/>
        <w:rPr>
          <w:rFonts w:hAnsi="黑体"/>
        </w:rPr>
      </w:pPr>
      <w:r>
        <w:rPr>
          <w:rFonts w:hint="eastAsia" w:hAnsi="黑体"/>
          <w:w w:val="100"/>
          <w:sz w:val="28"/>
        </w:rPr>
        <w:fldChar w:fldCharType="begin">
          <w:ffData>
            <w:name w:val="fm"/>
            <w:enabled/>
            <w:calcOnExit w:val="0"/>
            <w:textInput>
              <w:default w:val="山东省市场监督管理局"/>
            </w:textInput>
          </w:ffData>
        </w:fldChar>
      </w:r>
      <w:bookmarkStart w:id="18" w:name="fm"/>
      <w:r>
        <w:rPr>
          <w:rFonts w:hint="eastAsia" w:hAnsi="黑体"/>
          <w:w w:val="100"/>
          <w:sz w:val="28"/>
        </w:rPr>
        <w:instrText xml:space="preserve"> </w:instrText>
      </w:r>
      <w:r>
        <w:rPr>
          <w:rFonts w:hAnsi="黑体"/>
          <w:w w:val="100"/>
          <w:sz w:val="28"/>
        </w:rPr>
        <w:instrText xml:space="preserve">FORMTEXT</w:instrText>
      </w:r>
      <w:r>
        <w:rPr>
          <w:rFonts w:hint="eastAsia" w:hAnsi="黑体"/>
          <w:w w:val="100"/>
          <w:sz w:val="28"/>
        </w:rPr>
        <w:instrText xml:space="preserve"> </w:instrText>
      </w:r>
      <w:r>
        <w:rPr>
          <w:rFonts w:hint="eastAsia" w:hAnsi="黑体"/>
          <w:w w:val="100"/>
          <w:sz w:val="28"/>
        </w:rPr>
        <w:fldChar w:fldCharType="separate"/>
      </w:r>
      <w:r>
        <w:rPr>
          <w:rFonts w:hint="eastAsia" w:hAnsi="黑体"/>
          <w:w w:val="100"/>
          <w:sz w:val="28"/>
        </w:rPr>
        <w:t>山东省市场监督管理局</w:t>
      </w:r>
      <w:r>
        <w:rPr>
          <w:rFonts w:hint="eastAsia" w:hAnsi="黑体"/>
          <w:w w:val="100"/>
          <w:sz w:val="28"/>
        </w:rPr>
        <w:fldChar w:fldCharType="end"/>
      </w:r>
      <w:bookmarkEnd w:id="18"/>
      <w:r>
        <w:rPr>
          <w:rFonts w:ascii="Times New Roman"/>
          <w:w w:val="100"/>
          <w:sz w:val="28"/>
        </w:rPr>
        <w:t>  </w:t>
      </w:r>
      <w:r>
        <w:rPr>
          <w:rStyle w:val="237"/>
          <w:rFonts w:hint="eastAsia" w:hAnsi="黑体"/>
          <w:position w:val="0"/>
        </w:rPr>
        <w:t>发</w:t>
      </w:r>
      <w:r>
        <w:rPr>
          <w:rStyle w:val="237"/>
          <w:rFonts w:hint="eastAsia" w:hAnsi="黑体"/>
          <w:spacing w:val="0"/>
          <w:position w:val="0"/>
        </w:rPr>
        <w:t>布</w:t>
      </w:r>
    </w:p>
    <w:p w14:paraId="0607B0E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C4F67FF">
      <w:pPr>
        <w:pStyle w:val="99"/>
        <w:spacing w:after="468"/>
      </w:pPr>
      <w:bookmarkStart w:id="19" w:name="BookMark1"/>
      <w:bookmarkStart w:id="20" w:name="_Toc183898579"/>
      <w:bookmarkStart w:id="21" w:name="_Toc183898277"/>
      <w:bookmarkStart w:id="22" w:name="_Toc183898430"/>
      <w:r>
        <w:rPr>
          <w:rFonts w:hint="eastAsia"/>
          <w:spacing w:val="320"/>
        </w:rPr>
        <w:t>目</w:t>
      </w:r>
      <w:r>
        <w:rPr>
          <w:rFonts w:hint="eastAsia"/>
        </w:rPr>
        <w:t>次</w:t>
      </w:r>
    </w:p>
    <w:p w14:paraId="0D55A73D">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"_Toc184997568" </w:instrText>
      </w:r>
      <w:r>
        <w:fldChar w:fldCharType="separate"/>
      </w:r>
      <w:r>
        <w:rPr>
          <w:rStyle w:val="39"/>
          <w:rFonts w:hint="eastAsia"/>
          <w:spacing w:val="320"/>
        </w:rPr>
        <w:t>前</w:t>
      </w:r>
      <w:r>
        <w:rPr>
          <w:rStyle w:val="39"/>
          <w:rFonts w:hint="eastAsia"/>
        </w:rPr>
        <w:t>言</w:t>
      </w:r>
      <w:r>
        <w:rPr>
          <w:rFonts w:hint="eastAsia"/>
        </w:rPr>
        <w:tab/>
      </w:r>
      <w:r>
        <w:rPr>
          <w:rFonts w:hint="eastAsia"/>
        </w:rPr>
        <w:fldChar w:fldCharType="begin"/>
      </w:r>
      <w:r>
        <w:rPr>
          <w:rFonts w:hint="eastAsia"/>
        </w:rPr>
        <w:instrText xml:space="preserve"> </w:instrText>
      </w:r>
      <w:r>
        <w:instrText xml:space="preserve">PAGEREF _Toc184997568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29FD7D8B">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"_Toc184997569" </w:instrText>
      </w:r>
      <w:r>
        <w:fldChar w:fldCharType="separate"/>
      </w:r>
      <w:r>
        <w:rPr>
          <w:rStyle w:val="39"/>
          <w:rFonts w:hint="eastAsia"/>
        </w:rPr>
        <w:t>1 范围</w:t>
      </w:r>
      <w:r>
        <w:rPr>
          <w:rFonts w:hint="eastAsia"/>
        </w:rPr>
        <w:tab/>
      </w:r>
      <w:r>
        <w:rPr>
          <w:rFonts w:hint="eastAsia"/>
        </w:rPr>
        <w:fldChar w:fldCharType="begin"/>
      </w:r>
      <w:r>
        <w:rPr>
          <w:rFonts w:hint="eastAsia"/>
        </w:rPr>
        <w:instrText xml:space="preserve"> </w:instrText>
      </w:r>
      <w:r>
        <w:instrText xml:space="preserve">PAGEREF _Toc184997569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CC601AD">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"_Toc184997570" </w:instrText>
      </w:r>
      <w:r>
        <w:fldChar w:fldCharType="separate"/>
      </w:r>
      <w:r>
        <w:rPr>
          <w:rStyle w:val="39"/>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_Toc184997570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33B554A">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"_Toc184997571" </w:instrText>
      </w:r>
      <w:r>
        <w:fldChar w:fldCharType="separate"/>
      </w:r>
      <w:r>
        <w:rPr>
          <w:rStyle w:val="39"/>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_Toc184997571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643D313">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"_Toc184997578" </w:instrText>
      </w:r>
      <w:r>
        <w:fldChar w:fldCharType="separate"/>
      </w:r>
      <w:r>
        <w:rPr>
          <w:rStyle w:val="39"/>
          <w:rFonts w:hint="eastAsia"/>
        </w:rPr>
        <w:t>4 总体要求</w:t>
      </w:r>
      <w:r>
        <w:rPr>
          <w:rFonts w:hint="eastAsia"/>
        </w:rPr>
        <w:tab/>
      </w:r>
      <w:r>
        <w:rPr>
          <w:rFonts w:hint="eastAsia"/>
        </w:rPr>
        <w:fldChar w:fldCharType="begin"/>
      </w:r>
      <w:r>
        <w:rPr>
          <w:rFonts w:hint="eastAsia"/>
        </w:rPr>
        <w:instrText xml:space="preserve"> </w:instrText>
      </w:r>
      <w:r>
        <w:instrText xml:space="preserve">PAGEREF _Toc184997578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1305358E">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"_Toc184997581" </w:instrText>
      </w:r>
      <w:r>
        <w:fldChar w:fldCharType="separate"/>
      </w:r>
      <w:r>
        <w:rPr>
          <w:rStyle w:val="39"/>
          <w:rFonts w:hint="eastAsia"/>
        </w:rPr>
        <w:t>5 材料</w:t>
      </w:r>
      <w:r>
        <w:rPr>
          <w:rFonts w:hint="eastAsia"/>
        </w:rPr>
        <w:tab/>
      </w:r>
      <w:r>
        <w:rPr>
          <w:rFonts w:hint="eastAsia"/>
        </w:rPr>
        <w:fldChar w:fldCharType="begin"/>
      </w:r>
      <w:r>
        <w:rPr>
          <w:rFonts w:hint="eastAsia"/>
        </w:rPr>
        <w:instrText xml:space="preserve"> </w:instrText>
      </w:r>
      <w:r>
        <w:instrText xml:space="preserve">PAGEREF _Toc184997581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9E43E29">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"_Toc184997582" </w:instrText>
      </w:r>
      <w:r>
        <w:fldChar w:fldCharType="separate"/>
      </w:r>
      <w:r>
        <w:rPr>
          <w:rStyle w:val="39"/>
          <w:rFonts w:hint="eastAsia"/>
          <w14:scene3d w14:prst="orthographicFront">
            <w14:lightRig w14:rig="threePt" w14:dir="t">
              <w14:rot w14:lat="0" w14:lon="0" w14:rev="0"/>
            </w14:lightRig>
          </w14:scene3d>
        </w:rPr>
        <w:t>5.1</w:t>
      </w:r>
      <w:r>
        <w:rPr>
          <w:rStyle w:val="39"/>
          <w:rFonts w:hint="eastAsia"/>
        </w:rPr>
        <w:t xml:space="preserve"> 沥青胶结料</w:t>
      </w:r>
      <w:r>
        <w:rPr>
          <w:rFonts w:hint="eastAsia"/>
        </w:rPr>
        <w:tab/>
      </w:r>
      <w:r>
        <w:rPr>
          <w:rFonts w:hint="eastAsia"/>
        </w:rPr>
        <w:fldChar w:fldCharType="begin"/>
      </w:r>
      <w:r>
        <w:rPr>
          <w:rFonts w:hint="eastAsia"/>
        </w:rPr>
        <w:instrText xml:space="preserve"> </w:instrText>
      </w:r>
      <w:r>
        <w:instrText xml:space="preserve">PAGEREF _Toc184997582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4317FDD">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"_Toc184997583" </w:instrText>
      </w:r>
      <w:r>
        <w:fldChar w:fldCharType="separate"/>
      </w:r>
      <w:r>
        <w:rPr>
          <w:rStyle w:val="39"/>
          <w:rFonts w:hint="eastAsia"/>
          <w14:scene3d w14:prst="orthographicFront">
            <w14:lightRig w14:rig="threePt" w14:dir="t">
              <w14:rot w14:lat="0" w14:lon="0" w14:rev="0"/>
            </w14:lightRig>
          </w14:scene3d>
        </w:rPr>
        <w:t>5.2</w:t>
      </w:r>
      <w:r>
        <w:rPr>
          <w:rStyle w:val="39"/>
          <w:rFonts w:hint="eastAsia"/>
        </w:rPr>
        <w:t xml:space="preserve"> 粘结层材料</w:t>
      </w:r>
      <w:r>
        <w:rPr>
          <w:rFonts w:hint="eastAsia"/>
        </w:rPr>
        <w:tab/>
      </w:r>
      <w:r>
        <w:rPr>
          <w:rFonts w:hint="eastAsia"/>
        </w:rPr>
        <w:fldChar w:fldCharType="begin"/>
      </w:r>
      <w:r>
        <w:rPr>
          <w:rFonts w:hint="eastAsia"/>
        </w:rPr>
        <w:instrText xml:space="preserve"> </w:instrText>
      </w:r>
      <w:r>
        <w:instrText xml:space="preserve">PAGEREF _Toc184997583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A031A61">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"_Toc184997584" </w:instrText>
      </w:r>
      <w:r>
        <w:fldChar w:fldCharType="separate"/>
      </w:r>
      <w:r>
        <w:rPr>
          <w:rStyle w:val="39"/>
          <w:rFonts w:hint="eastAsia"/>
          <w14:scene3d w14:prst="orthographicFront">
            <w14:lightRig w14:rig="threePt" w14:dir="t">
              <w14:rot w14:lat="0" w14:lon="0" w14:rev="0"/>
            </w14:lightRig>
          </w14:scene3d>
        </w:rPr>
        <w:t>5.3</w:t>
      </w:r>
      <w:r>
        <w:rPr>
          <w:rStyle w:val="39"/>
          <w:rFonts w:hint="eastAsia"/>
        </w:rPr>
        <w:t xml:space="preserve"> 粗集料</w:t>
      </w:r>
      <w:r>
        <w:rPr>
          <w:rFonts w:hint="eastAsia"/>
        </w:rPr>
        <w:tab/>
      </w:r>
      <w:r>
        <w:rPr>
          <w:rFonts w:hint="eastAsia"/>
        </w:rPr>
        <w:fldChar w:fldCharType="begin"/>
      </w:r>
      <w:r>
        <w:rPr>
          <w:rFonts w:hint="eastAsia"/>
        </w:rPr>
        <w:instrText xml:space="preserve"> </w:instrText>
      </w:r>
      <w:r>
        <w:instrText xml:space="preserve">PAGEREF _Toc184997584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3417AD97">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"_Toc184997585" </w:instrText>
      </w:r>
      <w:r>
        <w:fldChar w:fldCharType="separate"/>
      </w:r>
      <w:r>
        <w:rPr>
          <w:rStyle w:val="39"/>
          <w:rFonts w:hint="eastAsia"/>
          <w14:scene3d w14:prst="orthographicFront">
            <w14:lightRig w14:rig="threePt" w14:dir="t">
              <w14:rot w14:lat="0" w14:lon="0" w14:rev="0"/>
            </w14:lightRig>
          </w14:scene3d>
        </w:rPr>
        <w:t>5.4</w:t>
      </w:r>
      <w:r>
        <w:rPr>
          <w:rStyle w:val="39"/>
          <w:rFonts w:hint="eastAsia"/>
        </w:rPr>
        <w:t xml:space="preserve"> 细集料</w:t>
      </w:r>
      <w:r>
        <w:rPr>
          <w:rFonts w:hint="eastAsia"/>
        </w:rPr>
        <w:tab/>
      </w:r>
      <w:r>
        <w:rPr>
          <w:rFonts w:hint="eastAsia"/>
        </w:rPr>
        <w:fldChar w:fldCharType="begin"/>
      </w:r>
      <w:r>
        <w:rPr>
          <w:rFonts w:hint="eastAsia"/>
        </w:rPr>
        <w:instrText xml:space="preserve"> </w:instrText>
      </w:r>
      <w:r>
        <w:instrText xml:space="preserve">PAGEREF _Toc184997585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B6B5619">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"_Toc184997586" </w:instrText>
      </w:r>
      <w:r>
        <w:fldChar w:fldCharType="separate"/>
      </w:r>
      <w:r>
        <w:rPr>
          <w:rStyle w:val="39"/>
          <w:rFonts w:hint="eastAsia"/>
          <w14:scene3d w14:prst="orthographicFront">
            <w14:lightRig w14:rig="threePt" w14:dir="t">
              <w14:rot w14:lat="0" w14:lon="0" w14:rev="0"/>
            </w14:lightRig>
          </w14:scene3d>
        </w:rPr>
        <w:t>5.5</w:t>
      </w:r>
      <w:r>
        <w:rPr>
          <w:rStyle w:val="39"/>
          <w:rFonts w:hint="eastAsia"/>
        </w:rPr>
        <w:t xml:space="preserve"> 填料</w:t>
      </w:r>
      <w:r>
        <w:rPr>
          <w:rFonts w:hint="eastAsia"/>
        </w:rPr>
        <w:tab/>
      </w:r>
      <w:r>
        <w:rPr>
          <w:rFonts w:hint="eastAsia"/>
        </w:rPr>
        <w:fldChar w:fldCharType="begin"/>
      </w:r>
      <w:r>
        <w:rPr>
          <w:rFonts w:hint="eastAsia"/>
        </w:rPr>
        <w:instrText xml:space="preserve"> </w:instrText>
      </w:r>
      <w:r>
        <w:instrText xml:space="preserve">PAGEREF _Toc184997586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FD2A133">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"_Toc184997587" </w:instrText>
      </w:r>
      <w:r>
        <w:fldChar w:fldCharType="separate"/>
      </w:r>
      <w:r>
        <w:rPr>
          <w:rStyle w:val="39"/>
          <w:rFonts w:hint="eastAsia"/>
          <w14:scene3d w14:prst="orthographicFront">
            <w14:lightRig w14:rig="threePt" w14:dir="t">
              <w14:rot w14:lat="0" w14:lon="0" w14:rev="0"/>
            </w14:lightRig>
          </w14:scene3d>
        </w:rPr>
        <w:t>5.6</w:t>
      </w:r>
      <w:r>
        <w:rPr>
          <w:rStyle w:val="39"/>
          <w:rFonts w:hint="eastAsia"/>
        </w:rPr>
        <w:t xml:space="preserve"> 纤维</w:t>
      </w:r>
      <w:r>
        <w:rPr>
          <w:rFonts w:hint="eastAsia"/>
        </w:rPr>
        <w:tab/>
      </w:r>
      <w:r>
        <w:rPr>
          <w:rFonts w:hint="eastAsia"/>
        </w:rPr>
        <w:fldChar w:fldCharType="begin"/>
      </w:r>
      <w:r>
        <w:rPr>
          <w:rFonts w:hint="eastAsia"/>
        </w:rPr>
        <w:instrText xml:space="preserve"> </w:instrText>
      </w:r>
      <w:r>
        <w:instrText xml:space="preserve">PAGEREF _Toc184997587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E7EEA22">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"_Toc184997588" </w:instrText>
      </w:r>
      <w:r>
        <w:fldChar w:fldCharType="separate"/>
      </w:r>
      <w:r>
        <w:rPr>
          <w:rStyle w:val="39"/>
          <w:rFonts w:hint="eastAsia"/>
        </w:rPr>
        <w:t>6 沥青混合料设计</w:t>
      </w:r>
      <w:r>
        <w:rPr>
          <w:rFonts w:hint="eastAsia"/>
        </w:rPr>
        <w:tab/>
      </w:r>
      <w:r>
        <w:rPr>
          <w:rFonts w:hint="eastAsia"/>
        </w:rPr>
        <w:fldChar w:fldCharType="begin"/>
      </w:r>
      <w:r>
        <w:rPr>
          <w:rFonts w:hint="eastAsia"/>
        </w:rPr>
        <w:instrText xml:space="preserve"> </w:instrText>
      </w:r>
      <w:r>
        <w:instrText xml:space="preserve">PAGEREF _Toc184997588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5E8F491">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"_Toc184997589" </w:instrText>
      </w:r>
      <w:r>
        <w:fldChar w:fldCharType="separate"/>
      </w:r>
      <w:r>
        <w:rPr>
          <w:rStyle w:val="39"/>
          <w:rFonts w:hint="eastAsia"/>
          <w14:scene3d w14:prst="orthographicFront">
            <w14:lightRig w14:rig="threePt" w14:dir="t">
              <w14:rot w14:lat="0" w14:lon="0" w14:rev="0"/>
            </w14:lightRig>
          </w14:scene3d>
        </w:rPr>
        <w:t>6.1</w:t>
      </w:r>
      <w:r>
        <w:rPr>
          <w:rStyle w:val="39"/>
          <w:rFonts w:hint="eastAsia"/>
        </w:rPr>
        <w:t xml:space="preserve"> 配合比设计</w:t>
      </w:r>
      <w:r>
        <w:rPr>
          <w:rFonts w:hint="eastAsia"/>
        </w:rPr>
        <w:tab/>
      </w:r>
      <w:r>
        <w:rPr>
          <w:rFonts w:hint="eastAsia"/>
        </w:rPr>
        <w:fldChar w:fldCharType="begin"/>
      </w:r>
      <w:r>
        <w:rPr>
          <w:rFonts w:hint="eastAsia"/>
        </w:rPr>
        <w:instrText xml:space="preserve"> </w:instrText>
      </w:r>
      <w:r>
        <w:instrText xml:space="preserve">PAGEREF _Toc184997589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4FB2CD3">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"_Toc184997590" </w:instrText>
      </w:r>
      <w:r>
        <w:fldChar w:fldCharType="separate"/>
      </w:r>
      <w:r>
        <w:rPr>
          <w:rStyle w:val="39"/>
          <w:rFonts w:hint="eastAsia"/>
          <w14:scene3d w14:prst="orthographicFront">
            <w14:lightRig w14:rig="threePt" w14:dir="t">
              <w14:rot w14:lat="0" w14:lon="0" w14:rev="0"/>
            </w14:lightRig>
          </w14:scene3d>
        </w:rPr>
        <w:t>6.2</w:t>
      </w:r>
      <w:r>
        <w:rPr>
          <w:rStyle w:val="39"/>
          <w:rFonts w:hint="eastAsia" w:hAnsi="宋体"/>
        </w:rPr>
        <w:t xml:space="preserve"> 配合比设计技术要求</w:t>
      </w:r>
      <w:r>
        <w:rPr>
          <w:rFonts w:hint="eastAsia"/>
        </w:rPr>
        <w:tab/>
      </w:r>
      <w:r>
        <w:rPr>
          <w:rFonts w:hint="eastAsia"/>
        </w:rPr>
        <w:fldChar w:fldCharType="begin"/>
      </w:r>
      <w:r>
        <w:rPr>
          <w:rFonts w:hint="eastAsia"/>
        </w:rPr>
        <w:instrText xml:space="preserve"> </w:instrText>
      </w:r>
      <w:r>
        <w:instrText xml:space="preserve">PAGEREF _Toc184997590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62F385CC">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"_Toc184997591" </w:instrText>
      </w:r>
      <w:r>
        <w:fldChar w:fldCharType="separate"/>
      </w:r>
      <w:r>
        <w:rPr>
          <w:rStyle w:val="39"/>
          <w:rFonts w:hint="eastAsia"/>
        </w:rPr>
        <w:t>7 施工</w:t>
      </w:r>
      <w:r>
        <w:rPr>
          <w:rFonts w:hint="eastAsia"/>
        </w:rPr>
        <w:tab/>
      </w:r>
      <w:r>
        <w:rPr>
          <w:rFonts w:hint="eastAsia"/>
        </w:rPr>
        <w:fldChar w:fldCharType="begin"/>
      </w:r>
      <w:r>
        <w:rPr>
          <w:rFonts w:hint="eastAsia"/>
        </w:rPr>
        <w:instrText xml:space="preserve"> </w:instrText>
      </w:r>
      <w:r>
        <w:instrText xml:space="preserve">PAGEREF _Toc184997591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360D9B9">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"_Toc184997592" </w:instrText>
      </w:r>
      <w:r>
        <w:fldChar w:fldCharType="separate"/>
      </w:r>
      <w:r>
        <w:rPr>
          <w:rStyle w:val="39"/>
          <w:rFonts w:hint="eastAsia"/>
          <w14:scene3d w14:prst="orthographicFront">
            <w14:lightRig w14:rig="threePt" w14:dir="t">
              <w14:rot w14:lat="0" w14:lon="0" w14:rev="0"/>
            </w14:lightRig>
          </w14:scene3d>
        </w:rPr>
        <w:t>7.1</w:t>
      </w:r>
      <w:r>
        <w:rPr>
          <w:rStyle w:val="39"/>
          <w:rFonts w:hint="eastAsia"/>
        </w:rPr>
        <w:t xml:space="preserve"> 原路面处治</w:t>
      </w:r>
      <w:r>
        <w:rPr>
          <w:rFonts w:hint="eastAsia"/>
        </w:rPr>
        <w:tab/>
      </w:r>
      <w:r>
        <w:rPr>
          <w:rFonts w:hint="eastAsia"/>
        </w:rPr>
        <w:fldChar w:fldCharType="begin"/>
      </w:r>
      <w:r>
        <w:rPr>
          <w:rFonts w:hint="eastAsia"/>
        </w:rPr>
        <w:instrText xml:space="preserve"> </w:instrText>
      </w:r>
      <w:r>
        <w:instrText xml:space="preserve">PAGEREF _Toc184997592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58D564A">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"_Toc184997593" </w:instrText>
      </w:r>
      <w:r>
        <w:fldChar w:fldCharType="separate"/>
      </w:r>
      <w:r>
        <w:rPr>
          <w:rStyle w:val="39"/>
          <w:rFonts w:hint="eastAsia"/>
          <w14:scene3d w14:prst="orthographicFront">
            <w14:lightRig w14:rig="threePt" w14:dir="t">
              <w14:rot w14:lat="0" w14:lon="0" w14:rev="0"/>
            </w14:lightRig>
          </w14:scene3d>
        </w:rPr>
        <w:t>7.2</w:t>
      </w:r>
      <w:r>
        <w:rPr>
          <w:rStyle w:val="39"/>
          <w:rFonts w:hint="eastAsia"/>
        </w:rPr>
        <w:t xml:space="preserve"> 粘结层</w:t>
      </w:r>
      <w:r>
        <w:rPr>
          <w:rFonts w:hint="eastAsia"/>
        </w:rPr>
        <w:tab/>
      </w:r>
      <w:r>
        <w:rPr>
          <w:rFonts w:hint="eastAsia"/>
        </w:rPr>
        <w:fldChar w:fldCharType="begin"/>
      </w:r>
      <w:r>
        <w:rPr>
          <w:rFonts w:hint="eastAsia"/>
        </w:rPr>
        <w:instrText xml:space="preserve"> </w:instrText>
      </w:r>
      <w:r>
        <w:instrText xml:space="preserve">PAGEREF _Toc184997593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A3424AF">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"_Toc184997594" </w:instrText>
      </w:r>
      <w:r>
        <w:fldChar w:fldCharType="separate"/>
      </w:r>
      <w:r>
        <w:rPr>
          <w:rStyle w:val="39"/>
          <w:rFonts w:hint="eastAsia"/>
          <w14:scene3d w14:prst="orthographicFront">
            <w14:lightRig w14:rig="threePt" w14:dir="t">
              <w14:rot w14:lat="0" w14:lon="0" w14:rev="0"/>
            </w14:lightRig>
          </w14:scene3d>
        </w:rPr>
        <w:t>7.3</w:t>
      </w:r>
      <w:r>
        <w:rPr>
          <w:rStyle w:val="39"/>
          <w:rFonts w:hint="eastAsia"/>
        </w:rPr>
        <w:t xml:space="preserve"> 混合料拌和</w:t>
      </w:r>
      <w:r>
        <w:rPr>
          <w:rFonts w:hint="eastAsia"/>
        </w:rPr>
        <w:tab/>
      </w:r>
      <w:r>
        <w:rPr>
          <w:rFonts w:hint="eastAsia"/>
        </w:rPr>
        <w:fldChar w:fldCharType="begin"/>
      </w:r>
      <w:r>
        <w:rPr>
          <w:rFonts w:hint="eastAsia"/>
        </w:rPr>
        <w:instrText xml:space="preserve"> </w:instrText>
      </w:r>
      <w:r>
        <w:instrText xml:space="preserve">PAGEREF _Toc184997594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D701235">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"_Toc184997595" </w:instrText>
      </w:r>
      <w:r>
        <w:fldChar w:fldCharType="separate"/>
      </w:r>
      <w:r>
        <w:rPr>
          <w:rStyle w:val="39"/>
          <w:rFonts w:hint="eastAsia"/>
          <w14:scene3d w14:prst="orthographicFront">
            <w14:lightRig w14:rig="threePt" w14:dir="t">
              <w14:rot w14:lat="0" w14:lon="0" w14:rev="0"/>
            </w14:lightRig>
          </w14:scene3d>
        </w:rPr>
        <w:t>7.4</w:t>
      </w:r>
      <w:r>
        <w:rPr>
          <w:rStyle w:val="39"/>
          <w:rFonts w:hint="eastAsia"/>
        </w:rPr>
        <w:t xml:space="preserve"> 混合料运输</w:t>
      </w:r>
      <w:r>
        <w:rPr>
          <w:rFonts w:hint="eastAsia"/>
        </w:rPr>
        <w:tab/>
      </w:r>
      <w:r>
        <w:rPr>
          <w:rFonts w:hint="eastAsia"/>
        </w:rPr>
        <w:fldChar w:fldCharType="begin"/>
      </w:r>
      <w:r>
        <w:rPr>
          <w:rFonts w:hint="eastAsia"/>
        </w:rPr>
        <w:instrText xml:space="preserve"> </w:instrText>
      </w:r>
      <w:r>
        <w:instrText xml:space="preserve">PAGEREF _Toc184997595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F7763C7">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"_Toc184997596" </w:instrText>
      </w:r>
      <w:r>
        <w:fldChar w:fldCharType="separate"/>
      </w:r>
      <w:r>
        <w:rPr>
          <w:rStyle w:val="39"/>
          <w:rFonts w:hint="eastAsia"/>
          <w14:scene3d w14:prst="orthographicFront">
            <w14:lightRig w14:rig="threePt" w14:dir="t">
              <w14:rot w14:lat="0" w14:lon="0" w14:rev="0"/>
            </w14:lightRig>
          </w14:scene3d>
        </w:rPr>
        <w:t>7.5</w:t>
      </w:r>
      <w:r>
        <w:rPr>
          <w:rStyle w:val="39"/>
          <w:rFonts w:hint="eastAsia"/>
        </w:rPr>
        <w:t xml:space="preserve"> 混合料摊铺</w:t>
      </w:r>
      <w:r>
        <w:rPr>
          <w:rFonts w:hint="eastAsia"/>
        </w:rPr>
        <w:tab/>
      </w:r>
      <w:r>
        <w:rPr>
          <w:rFonts w:hint="eastAsia"/>
        </w:rPr>
        <w:fldChar w:fldCharType="begin"/>
      </w:r>
      <w:r>
        <w:rPr>
          <w:rFonts w:hint="eastAsia"/>
        </w:rPr>
        <w:instrText xml:space="preserve"> </w:instrText>
      </w:r>
      <w:r>
        <w:instrText xml:space="preserve">PAGEREF _Toc184997596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23BB21E">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"_Toc184997597" </w:instrText>
      </w:r>
      <w:r>
        <w:fldChar w:fldCharType="separate"/>
      </w:r>
      <w:r>
        <w:rPr>
          <w:rStyle w:val="39"/>
          <w:rFonts w:hint="eastAsia"/>
          <w14:scene3d w14:prst="orthographicFront">
            <w14:lightRig w14:rig="threePt" w14:dir="t">
              <w14:rot w14:lat="0" w14:lon="0" w14:rev="0"/>
            </w14:lightRig>
          </w14:scene3d>
        </w:rPr>
        <w:t>7.6</w:t>
      </w:r>
      <w:r>
        <w:rPr>
          <w:rStyle w:val="39"/>
          <w:rFonts w:hint="eastAsia"/>
        </w:rPr>
        <w:t xml:space="preserve"> 混合料压实</w:t>
      </w:r>
      <w:r>
        <w:rPr>
          <w:rFonts w:hint="eastAsia"/>
        </w:rPr>
        <w:tab/>
      </w:r>
      <w:r>
        <w:rPr>
          <w:rFonts w:hint="eastAsia"/>
        </w:rPr>
        <w:fldChar w:fldCharType="begin"/>
      </w:r>
      <w:r>
        <w:rPr>
          <w:rFonts w:hint="eastAsia"/>
        </w:rPr>
        <w:instrText xml:space="preserve"> </w:instrText>
      </w:r>
      <w:r>
        <w:instrText xml:space="preserve">PAGEREF _Toc184997597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372D0729">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"_Toc184997598" </w:instrText>
      </w:r>
      <w:r>
        <w:fldChar w:fldCharType="separate"/>
      </w:r>
      <w:r>
        <w:rPr>
          <w:rStyle w:val="39"/>
          <w:rFonts w:hint="eastAsia"/>
        </w:rPr>
        <w:t>8 质量管理与验收</w:t>
      </w:r>
      <w:r>
        <w:rPr>
          <w:rFonts w:hint="eastAsia"/>
        </w:rPr>
        <w:tab/>
      </w:r>
      <w:r>
        <w:rPr>
          <w:rFonts w:hint="eastAsia"/>
        </w:rPr>
        <w:fldChar w:fldCharType="begin"/>
      </w:r>
      <w:r>
        <w:rPr>
          <w:rFonts w:hint="eastAsia"/>
        </w:rPr>
        <w:instrText xml:space="preserve"> </w:instrText>
      </w:r>
      <w:r>
        <w:instrText xml:space="preserve">PAGEREF _Toc184997598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557876B3">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"_Toc184997599" </w:instrText>
      </w:r>
      <w:r>
        <w:fldChar w:fldCharType="separate"/>
      </w:r>
      <w:r>
        <w:rPr>
          <w:rStyle w:val="39"/>
          <w:rFonts w:hint="eastAsia"/>
          <w14:scene3d w14:prst="orthographicFront">
            <w14:lightRig w14:rig="threePt" w14:dir="t">
              <w14:rot w14:lat="0" w14:lon="0" w14:rev="0"/>
            </w14:lightRig>
          </w14:scene3d>
        </w:rPr>
        <w:t>8.1</w:t>
      </w:r>
      <w:r>
        <w:rPr>
          <w:rStyle w:val="39"/>
          <w:rFonts w:hint="eastAsia"/>
        </w:rPr>
        <w:t xml:space="preserve"> 质量管理</w:t>
      </w:r>
      <w:r>
        <w:rPr>
          <w:rFonts w:hint="eastAsia"/>
        </w:rPr>
        <w:tab/>
      </w:r>
      <w:r>
        <w:rPr>
          <w:rFonts w:hint="eastAsia"/>
        </w:rPr>
        <w:fldChar w:fldCharType="begin"/>
      </w:r>
      <w:r>
        <w:rPr>
          <w:rFonts w:hint="eastAsia"/>
        </w:rPr>
        <w:instrText xml:space="preserve"> </w:instrText>
      </w:r>
      <w:r>
        <w:instrText xml:space="preserve">PAGEREF _Toc184997599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096EA3D2">
      <w:pPr>
        <w:pStyle w:val="29"/>
        <w:rPr>
          <w:rFonts w:asciiTheme="minorHAnsi" w:hAnsiTheme="minorHAnsi" w:eastAsiaTheme="minorEastAsia" w:cstheme="minorBidi"/>
          <w:sz w:val="22"/>
          <w:szCs w:val="24"/>
          <w14:ligatures w14:val="standardContextual"/>
        </w:rPr>
      </w:pPr>
      <w:r>
        <w:fldChar w:fldCharType="begin"/>
      </w:r>
      <w:r>
        <w:instrText xml:space="preserve"> HYPERLINK \l "_Toc184997600" </w:instrText>
      </w:r>
      <w:r>
        <w:fldChar w:fldCharType="separate"/>
      </w:r>
      <w:r>
        <w:rPr>
          <w:rStyle w:val="39"/>
          <w:rFonts w:hint="eastAsia"/>
          <w14:scene3d w14:prst="orthographicFront">
            <w14:lightRig w14:rig="threePt" w14:dir="t">
              <w14:rot w14:lat="0" w14:lon="0" w14:rev="0"/>
            </w14:lightRig>
          </w14:scene3d>
        </w:rPr>
        <w:t>8.2</w:t>
      </w:r>
      <w:r>
        <w:rPr>
          <w:rStyle w:val="39"/>
          <w:rFonts w:hint="eastAsia"/>
        </w:rPr>
        <w:t xml:space="preserve"> 交工验收</w:t>
      </w:r>
      <w:r>
        <w:rPr>
          <w:rFonts w:hint="eastAsia"/>
        </w:rPr>
        <w:tab/>
      </w:r>
      <w:r>
        <w:rPr>
          <w:rFonts w:hint="eastAsia"/>
        </w:rPr>
        <w:fldChar w:fldCharType="begin"/>
      </w:r>
      <w:r>
        <w:rPr>
          <w:rFonts w:hint="eastAsia"/>
        </w:rPr>
        <w:instrText xml:space="preserve"> </w:instrText>
      </w:r>
      <w:r>
        <w:instrText xml:space="preserve">PAGEREF _Toc184997600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748F6D40">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"_Toc184997601" </w:instrText>
      </w:r>
      <w:r>
        <w:fldChar w:fldCharType="separate"/>
      </w:r>
      <w:r>
        <w:rPr>
          <w:rStyle w:val="39"/>
          <w:rFonts w:hint="eastAsia"/>
          <w:spacing w:val="100"/>
        </w:rPr>
        <w:t>附录A</w:t>
      </w:r>
      <w:r>
        <w:rPr>
          <w:rStyle w:val="39"/>
          <w:rFonts w:hint="eastAsia"/>
        </w:rPr>
        <w:t xml:space="preserve"> （规范性） 高温压碎值试验方法</w:t>
      </w:r>
      <w:r>
        <w:rPr>
          <w:rFonts w:hint="eastAsia"/>
        </w:rPr>
        <w:tab/>
      </w:r>
      <w:r>
        <w:rPr>
          <w:rFonts w:hint="eastAsia"/>
        </w:rPr>
        <w:fldChar w:fldCharType="begin"/>
      </w:r>
      <w:r>
        <w:rPr>
          <w:rFonts w:hint="eastAsia"/>
        </w:rPr>
        <w:instrText xml:space="preserve"> </w:instrText>
      </w:r>
      <w:r>
        <w:instrText xml:space="preserve">PAGEREF _Toc184997601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3D5F38C5">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"_Toc184997606" </w:instrText>
      </w:r>
      <w:r>
        <w:fldChar w:fldCharType="separate"/>
      </w:r>
      <w:r>
        <w:rPr>
          <w:rStyle w:val="39"/>
          <w:rFonts w:hint="eastAsia"/>
          <w:spacing w:val="100"/>
        </w:rPr>
        <w:t>附录B</w:t>
      </w:r>
      <w:r>
        <w:rPr>
          <w:rStyle w:val="39"/>
          <w:rFonts w:hint="eastAsia"/>
        </w:rPr>
        <w:t xml:space="preserve"> （规范性） 丰度系数</w:t>
      </w:r>
      <w:r>
        <w:rPr>
          <w:rFonts w:hint="eastAsia"/>
        </w:rPr>
        <w:tab/>
      </w:r>
      <w:r>
        <w:rPr>
          <w:rFonts w:hint="eastAsia"/>
        </w:rPr>
        <w:fldChar w:fldCharType="begin"/>
      </w:r>
      <w:r>
        <w:rPr>
          <w:rFonts w:hint="eastAsia"/>
        </w:rPr>
        <w:instrText xml:space="preserve"> </w:instrText>
      </w:r>
      <w:r>
        <w:instrText xml:space="preserve">PAGEREF _Toc184997606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0911B59C">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"_Toc184997607" </w:instrText>
      </w:r>
      <w:r>
        <w:fldChar w:fldCharType="separate"/>
      </w:r>
      <w:r>
        <w:rPr>
          <w:rStyle w:val="39"/>
          <w:rFonts w:hint="eastAsia"/>
          <w:spacing w:val="100"/>
        </w:rPr>
        <w:t>附录C</w:t>
      </w:r>
      <w:r>
        <w:rPr>
          <w:rStyle w:val="39"/>
          <w:rFonts w:hint="eastAsia"/>
        </w:rPr>
        <w:t xml:space="preserve"> （规范性） 沥青混合料抗裂性能测定方法（OT试验）</w:t>
      </w:r>
      <w:r>
        <w:rPr>
          <w:rFonts w:hint="eastAsia"/>
        </w:rPr>
        <w:tab/>
      </w:r>
      <w:r>
        <w:rPr>
          <w:rFonts w:hint="eastAsia"/>
        </w:rPr>
        <w:fldChar w:fldCharType="begin"/>
      </w:r>
      <w:r>
        <w:rPr>
          <w:rFonts w:hint="eastAsia"/>
        </w:rPr>
        <w:instrText xml:space="preserve"> </w:instrText>
      </w:r>
      <w:r>
        <w:instrText xml:space="preserve">PAGEREF _Toc184997607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0770E590">
      <w:pPr>
        <w:pStyle w:val="24"/>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"_Toc184997613" </w:instrText>
      </w:r>
      <w:r>
        <w:fldChar w:fldCharType="separate"/>
      </w:r>
      <w:r>
        <w:rPr>
          <w:rStyle w:val="39"/>
          <w:rFonts w:hint="eastAsia"/>
          <w:spacing w:val="100"/>
        </w:rPr>
        <w:t>附录D</w:t>
      </w:r>
      <w:r>
        <w:rPr>
          <w:rStyle w:val="39"/>
          <w:rFonts w:hint="eastAsia"/>
        </w:rPr>
        <w:t xml:space="preserve"> （资料性） 粘结层粘结强度性能测定方法</w:t>
      </w:r>
      <w:r>
        <w:rPr>
          <w:rFonts w:hint="eastAsia"/>
        </w:rPr>
        <w:tab/>
      </w:r>
      <w:r>
        <w:rPr>
          <w:rFonts w:hint="eastAsia"/>
        </w:rPr>
        <w:fldChar w:fldCharType="begin"/>
      </w:r>
      <w:r>
        <w:rPr>
          <w:rFonts w:hint="eastAsia"/>
        </w:rPr>
        <w:instrText xml:space="preserve"> </w:instrText>
      </w:r>
      <w:r>
        <w:instrText xml:space="preserve">PAGEREF _Toc184997613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1CF41070">
      <w:pPr>
        <w:pStyle w:val="99"/>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14:paraId="165F8BC5">
      <w:pPr>
        <w:pStyle w:val="97"/>
        <w:spacing w:before="900" w:after="468"/>
      </w:pPr>
      <w:bookmarkStart w:id="23" w:name="_Toc184997568"/>
      <w:bookmarkStart w:id="24" w:name="BookMark2"/>
      <w:r>
        <w:rPr>
          <w:rFonts w:hint="eastAsia"/>
          <w:spacing w:val="320"/>
        </w:rPr>
        <w:t>前</w:t>
      </w:r>
      <w:r>
        <w:rPr>
          <w:rFonts w:hint="eastAsia"/>
        </w:rPr>
        <w:t>言</w:t>
      </w:r>
      <w:bookmarkEnd w:id="20"/>
      <w:bookmarkEnd w:id="21"/>
      <w:bookmarkEnd w:id="22"/>
      <w:bookmarkEnd w:id="23"/>
    </w:p>
    <w:p w14:paraId="6A81B1BF">
      <w:pPr>
        <w:pStyle w:val="64"/>
        <w:ind w:firstLine="420"/>
      </w:pPr>
      <w:r>
        <w:rPr>
          <w:rFonts w:hint="eastAsia"/>
        </w:rPr>
        <w:t>本文件按照GB/T 1.1-—2020《标准化工作导则 第1部分：标准化文件的结构和起草规则》的规定起草。</w:t>
      </w:r>
    </w:p>
    <w:p w14:paraId="0C8CDA89">
      <w:pPr>
        <w:pStyle w:val="64"/>
        <w:ind w:firstLine="420"/>
      </w:pPr>
      <w:r>
        <w:rPr>
          <w:rFonts w:hint="eastAsia"/>
        </w:rPr>
        <w:t>请注意本文件的某些内容可能涉及专利。本文件的发布机构不承担识别专利的责任。</w:t>
      </w:r>
    </w:p>
    <w:p w14:paraId="12A86DB3">
      <w:pPr>
        <w:pStyle w:val="64"/>
        <w:ind w:firstLine="420"/>
      </w:pPr>
      <w:r>
        <w:rPr>
          <w:rFonts w:hint="eastAsia"/>
        </w:rPr>
        <w:t>本文件由山东省交通运输厅提出并组织实施。</w:t>
      </w:r>
    </w:p>
    <w:p w14:paraId="62851AC8">
      <w:pPr>
        <w:pStyle w:val="64"/>
        <w:ind w:firstLine="420"/>
      </w:pPr>
      <w:r>
        <w:rPr>
          <w:rFonts w:hint="eastAsia"/>
        </w:rPr>
        <w:t>本文件由山东省交通运输标准化技术委员会归口。</w:t>
      </w:r>
    </w:p>
    <w:p w14:paraId="276151AF">
      <w:pPr>
        <w:pStyle w:val="64"/>
        <w:ind w:firstLine="420"/>
      </w:pPr>
    </w:p>
    <w:p w14:paraId="5B87770C">
      <w:pPr>
        <w:pStyle w:val="64"/>
        <w:ind w:firstLine="420"/>
      </w:pPr>
    </w:p>
    <w:p w14:paraId="01FE28B4">
      <w:pPr>
        <w:pStyle w:val="64"/>
        <w:ind w:firstLine="420"/>
        <w:sectPr>
          <w:pgSz w:w="11906" w:h="16838"/>
          <w:pgMar w:top="1928" w:right="1134" w:bottom="1134" w:left="1134" w:header="1418" w:footer="1134" w:gutter="284"/>
          <w:pgNumType w:fmt="upperRoman"/>
          <w:cols w:space="425" w:num="1"/>
          <w:formProt w:val="0"/>
          <w:docGrid w:type="lines" w:linePitch="312" w:charSpace="0"/>
        </w:sectPr>
      </w:pPr>
    </w:p>
    <w:bookmarkEnd w:id="24"/>
    <w:p w14:paraId="45BAEDC4">
      <w:pPr>
        <w:spacing w:line="20" w:lineRule="exact"/>
        <w:jc w:val="center"/>
        <w:rPr>
          <w:rFonts w:ascii="黑体" w:hAnsi="黑体" w:eastAsia="黑体"/>
          <w:sz w:val="32"/>
          <w:szCs w:val="32"/>
        </w:rPr>
      </w:pPr>
      <w:bookmarkStart w:id="25" w:name="BookMark4"/>
    </w:p>
    <w:p w14:paraId="2F406453">
      <w:pPr>
        <w:spacing w:line="20" w:lineRule="exact"/>
        <w:jc w:val="center"/>
        <w:rPr>
          <w:rFonts w:ascii="黑体" w:hAnsi="黑体" w:eastAsia="黑体"/>
          <w:sz w:val="32"/>
          <w:szCs w:val="32"/>
        </w:rPr>
      </w:pPr>
    </w:p>
    <w:sdt>
      <w:sdtPr>
        <w:tag w:val="NEW_STAND_NAME"/>
        <w:id w:val="595910757"/>
        <w:lock w:val="sdtLocked"/>
        <w:placeholder>
          <w:docPart w:val="4CED7D48FBD0465A8F3C2831599A7869"/>
        </w:placeholder>
      </w:sdtPr>
      <w:sdtContent>
        <w:sdt>
          <w:sdtPr>
            <w:tag w:val="NEW_STAND_NAME"/>
            <w:id w:val="-548766975"/>
            <w:placeholder>
              <w:docPart w:val="8D6EE4D257B542CC9AD18994557E1E09"/>
            </w:placeholder>
          </w:sdtPr>
          <w:sdtContent>
            <w:p w14:paraId="5455A21D">
              <w:pPr>
                <w:pStyle w:val="185"/>
                <w:spacing w:before="3" w:beforeLines="1" w:after="686" w:afterLines="220"/>
                <w:rPr>
                  <w:rFonts w:ascii="Calibri" w:hAnsi="Calibri" w:eastAsia="宋体"/>
                  <w:sz w:val="21"/>
                  <w:szCs w:val="21"/>
                </w:rPr>
              </w:pPr>
              <w:bookmarkStart w:id="26" w:name="NEW_STAND_NAME"/>
              <w:r>
                <w:rPr>
                  <w:rFonts w:hint="eastAsia"/>
                </w:rPr>
                <w:t>公路沥青路面超薄罩面施工技术规范</w:t>
              </w:r>
            </w:p>
          </w:sdtContent>
        </w:sdt>
      </w:sdtContent>
    </w:sdt>
    <w:bookmarkEnd w:id="26"/>
    <w:p w14:paraId="743903D4">
      <w:pPr>
        <w:pStyle w:val="112"/>
        <w:spacing w:before="312" w:after="312"/>
      </w:pPr>
      <w:bookmarkStart w:id="27" w:name="_Toc24884218"/>
      <w:bookmarkStart w:id="28" w:name="_Toc17233333"/>
      <w:bookmarkStart w:id="29" w:name="_Toc26648465"/>
      <w:bookmarkStart w:id="30" w:name="_Toc26986530"/>
      <w:bookmarkStart w:id="31" w:name="_Toc183898431"/>
      <w:bookmarkStart w:id="32" w:name="_Toc24884211"/>
      <w:bookmarkStart w:id="33" w:name="_Toc26986771"/>
      <w:bookmarkStart w:id="34" w:name="_Toc17233325"/>
      <w:bookmarkStart w:id="35" w:name="_Toc183898580"/>
      <w:bookmarkStart w:id="36" w:name="_Toc97191423"/>
      <w:bookmarkStart w:id="37" w:name="_Toc183898278"/>
      <w:bookmarkStart w:id="38" w:name="_Toc184997569"/>
      <w:bookmarkStart w:id="39" w:name="_Toc26718930"/>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4A54DF4A">
      <w:pPr>
        <w:pStyle w:val="64"/>
        <w:ind w:firstLine="420"/>
      </w:pPr>
      <w:bookmarkStart w:id="40" w:name="_Toc17233334"/>
      <w:bookmarkStart w:id="41" w:name="_Toc26648466"/>
      <w:bookmarkStart w:id="42" w:name="_Toc24884219"/>
      <w:bookmarkStart w:id="43" w:name="_Toc17233326"/>
      <w:bookmarkStart w:id="44" w:name="_Toc24884212"/>
      <w:r>
        <w:rPr>
          <w:rFonts w:hint="eastAsia"/>
        </w:rPr>
        <w:t>本文件规定了公路沥青路面超薄罩面材料、沥青混合料设计、施工、质量管理与验收的技术要求。</w:t>
      </w:r>
    </w:p>
    <w:p w14:paraId="3506FCB7">
      <w:pPr>
        <w:pStyle w:val="64"/>
        <w:ind w:firstLine="420"/>
      </w:pPr>
      <w:r>
        <w:rPr>
          <w:rFonts w:hint="eastAsia"/>
        </w:rPr>
        <w:t>本标准适用于各等级公路的预防性养护或新建工程。</w:t>
      </w:r>
    </w:p>
    <w:p w14:paraId="6819C25C">
      <w:pPr>
        <w:pStyle w:val="112"/>
        <w:spacing w:before="312" w:after="312"/>
      </w:pPr>
      <w:bookmarkStart w:id="45" w:name="_Toc183898432"/>
      <w:bookmarkStart w:id="46" w:name="_Toc183898581"/>
      <w:bookmarkStart w:id="47" w:name="_Toc26986772"/>
      <w:bookmarkStart w:id="48" w:name="_Toc183898279"/>
      <w:bookmarkStart w:id="49" w:name="_Toc184997570"/>
      <w:bookmarkStart w:id="50" w:name="_Toc26718931"/>
      <w:bookmarkStart w:id="51" w:name="_Toc26986531"/>
      <w:bookmarkStart w:id="52" w:name="_Toc97191424"/>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2016373036"/>
        <w:placeholder>
          <w:docPart w:val="C62E09455C5D4931872655486B0BB88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F422102">
          <w:pPr>
            <w:pStyle w:val="64"/>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F91E8B">
      <w:pPr>
        <w:pStyle w:val="64"/>
        <w:ind w:firstLine="420"/>
      </w:pPr>
      <w:r>
        <w:rPr>
          <w:rFonts w:hint="eastAsia"/>
        </w:rPr>
        <w:t>JTG D50   公路沥青路面设计规范</w:t>
      </w:r>
    </w:p>
    <w:p w14:paraId="7E15AC02">
      <w:pPr>
        <w:pStyle w:val="64"/>
        <w:ind w:firstLine="420"/>
      </w:pPr>
      <w:r>
        <w:rPr>
          <w:rFonts w:hint="eastAsia"/>
        </w:rPr>
        <w:t>JTG E20</w:t>
      </w:r>
      <w:r>
        <w:rPr>
          <w:rFonts w:hint="eastAsia"/>
          <w:color w:val="000000" w:themeColor="text1"/>
          <w14:textFill>
            <w14:solidFill>
              <w14:schemeClr w14:val="tx1"/>
            </w14:solidFill>
          </w14:textFill>
        </w:rPr>
        <w:t>—2011</w:t>
      </w:r>
      <w:r>
        <w:rPr>
          <w:rFonts w:hint="eastAsia"/>
        </w:rPr>
        <w:t xml:space="preserve">   公路工程沥青及沥青混合料试验规程</w:t>
      </w:r>
    </w:p>
    <w:p w14:paraId="3C5E37FF">
      <w:pPr>
        <w:pStyle w:val="64"/>
        <w:ind w:firstLine="420"/>
      </w:pPr>
      <w:r>
        <w:rPr>
          <w:rFonts w:hint="eastAsia"/>
        </w:rPr>
        <w:t xml:space="preserve">JTG F40   公路沥青路面施工技术规范 </w:t>
      </w:r>
    </w:p>
    <w:p w14:paraId="0F77AF4C">
      <w:pPr>
        <w:pStyle w:val="64"/>
        <w:ind w:firstLine="420"/>
      </w:pPr>
      <w:r>
        <w:rPr>
          <w:rFonts w:hint="eastAsia"/>
        </w:rPr>
        <w:t>JTG 3432</w:t>
      </w:r>
      <w:r>
        <w:rPr>
          <w:rFonts w:hint="eastAsia"/>
          <w:color w:val="000000" w:themeColor="text1"/>
          <w14:textFill>
            <w14:solidFill>
              <w14:schemeClr w14:val="tx1"/>
            </w14:solidFill>
          </w14:textFill>
        </w:rPr>
        <w:t>—2024</w:t>
      </w:r>
      <w:r>
        <w:rPr>
          <w:rFonts w:hint="eastAsia"/>
        </w:rPr>
        <w:t xml:space="preserve">  公路工程集料试验规程</w:t>
      </w:r>
    </w:p>
    <w:p w14:paraId="7D8CA776">
      <w:pPr>
        <w:pStyle w:val="64"/>
        <w:ind w:firstLine="420"/>
      </w:pPr>
      <w:r>
        <w:rPr>
          <w:rFonts w:hint="eastAsia"/>
        </w:rPr>
        <w:t>JTG 3450</w:t>
      </w:r>
      <w:r>
        <w:rPr>
          <w:rFonts w:hint="eastAsia"/>
          <w:color w:val="000000" w:themeColor="text1"/>
          <w14:textFill>
            <w14:solidFill>
              <w14:schemeClr w14:val="tx1"/>
            </w14:solidFill>
          </w14:textFill>
        </w:rPr>
        <w:t>—2019</w:t>
      </w:r>
      <w:r>
        <w:rPr>
          <w:rFonts w:hint="eastAsia"/>
        </w:rPr>
        <w:t xml:space="preserve">  公路路基路面现场测试规程</w:t>
      </w:r>
    </w:p>
    <w:p w14:paraId="18014431">
      <w:pPr>
        <w:pStyle w:val="64"/>
        <w:ind w:firstLine="420"/>
      </w:pPr>
      <w:r>
        <w:rPr>
          <w:rFonts w:hint="eastAsia"/>
        </w:rPr>
        <w:t>JTG 5110  公路养护技术标准</w:t>
      </w:r>
    </w:p>
    <w:p w14:paraId="03A1DC0E">
      <w:pPr>
        <w:pStyle w:val="64"/>
        <w:ind w:firstLine="420"/>
      </w:pPr>
      <w:r>
        <w:rPr>
          <w:rFonts w:hint="eastAsia"/>
        </w:rPr>
        <w:t>JTG 5142  公路沥青路面养护技术规范</w:t>
      </w:r>
    </w:p>
    <w:p w14:paraId="1CA2FCA3">
      <w:pPr>
        <w:pStyle w:val="64"/>
        <w:ind w:firstLine="420"/>
      </w:pPr>
      <w:r>
        <w:rPr>
          <w:rFonts w:hint="eastAsia"/>
        </w:rPr>
        <w:t>JTG 5210  公路技术状况评定标准</w:t>
      </w:r>
    </w:p>
    <w:p w14:paraId="33C2BDED">
      <w:pPr>
        <w:pStyle w:val="64"/>
        <w:ind w:firstLine="420"/>
      </w:pPr>
      <w:r>
        <w:rPr>
          <w:rFonts w:hint="eastAsia"/>
        </w:rPr>
        <w:t>JTG 5220  公路养护工程质量检验评定标准 第一册 土建工程</w:t>
      </w:r>
    </w:p>
    <w:p w14:paraId="50FCF63A">
      <w:pPr>
        <w:pStyle w:val="64"/>
        <w:ind w:firstLine="420"/>
      </w:pPr>
      <w:r>
        <w:rPr>
          <w:rFonts w:hint="eastAsia"/>
        </w:rPr>
        <w:t>JTG 5421  公路沥青路面养护设计规范</w:t>
      </w:r>
    </w:p>
    <w:p w14:paraId="137EF3B4">
      <w:pPr>
        <w:pStyle w:val="64"/>
        <w:ind w:firstLine="420"/>
      </w:pPr>
      <w:r>
        <w:rPr>
          <w:rFonts w:hint="eastAsia"/>
        </w:rPr>
        <w:t>JT/T 533  沥青路面用纤维</w:t>
      </w:r>
    </w:p>
    <w:p w14:paraId="0857F1B2">
      <w:pPr>
        <w:pStyle w:val="64"/>
        <w:ind w:firstLine="420"/>
      </w:pPr>
      <w:r>
        <w:rPr>
          <w:rFonts w:hint="eastAsia"/>
        </w:rPr>
        <w:t>DB37/T 4428 沥青路面裂缝处理技术规程</w:t>
      </w:r>
    </w:p>
    <w:p w14:paraId="30E00112">
      <w:pPr>
        <w:pStyle w:val="112"/>
        <w:spacing w:before="312" w:after="312"/>
      </w:pPr>
      <w:bookmarkStart w:id="53" w:name="_Toc97191425"/>
      <w:bookmarkStart w:id="54" w:name="_Toc183898433"/>
      <w:bookmarkStart w:id="55" w:name="_Toc184997571"/>
      <w:bookmarkStart w:id="56" w:name="_Toc183898280"/>
      <w:bookmarkStart w:id="57" w:name="_Toc183898582"/>
      <w:r>
        <w:rPr>
          <w:rFonts w:hint="eastAsia"/>
          <w:szCs w:val="21"/>
        </w:rPr>
        <w:t>术语和定义</w:t>
      </w:r>
      <w:bookmarkEnd w:id="53"/>
      <w:bookmarkEnd w:id="54"/>
      <w:bookmarkEnd w:id="55"/>
      <w:bookmarkEnd w:id="56"/>
      <w:bookmarkEnd w:id="57"/>
    </w:p>
    <w:sdt>
      <w:sdtPr>
        <w:id w:val="-1909835108"/>
        <w:placeholder>
          <w:docPart w:val="C3CE9DFE929F421EB06FA7A9FC39C8C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C95ED5A">
          <w:pPr>
            <w:pStyle w:val="64"/>
            <w:ind w:firstLine="420"/>
          </w:pPr>
          <w:bookmarkStart w:id="58" w:name="_Toc26986532"/>
          <w:bookmarkEnd w:id="58"/>
          <w:r>
            <w:t>下列术语和定义适用于本文件。</w:t>
          </w:r>
        </w:p>
      </w:sdtContent>
    </w:sdt>
    <w:p w14:paraId="43CC8AF2">
      <w:pPr>
        <w:pStyle w:val="113"/>
        <w:spacing w:before="156" w:after="156"/>
      </w:pPr>
      <w:bookmarkStart w:id="59" w:name="_Toc109140472"/>
      <w:bookmarkStart w:id="60" w:name="_Toc183897501"/>
      <w:bookmarkStart w:id="61" w:name="_Toc183898596"/>
      <w:bookmarkStart w:id="62" w:name="_Toc183898434"/>
      <w:bookmarkStart w:id="63" w:name="_Toc183898281"/>
      <w:bookmarkStart w:id="64" w:name="_Toc183897596"/>
      <w:bookmarkStart w:id="65" w:name="_Toc184997572"/>
    </w:p>
    <w:p w14:paraId="3EBF590E">
      <w:pPr>
        <w:pStyle w:val="113"/>
        <w:numPr>
          <w:ilvl w:val="0"/>
          <w:numId w:val="0"/>
        </w:numPr>
        <w:spacing w:before="0" w:beforeLines="0" w:after="0" w:afterLines="0"/>
        <w:ind w:firstLine="420" w:firstLineChars="200"/>
      </w:pPr>
      <w:r>
        <w:rPr>
          <w:rFonts w:hAnsi="黑体"/>
        </w:rPr>
        <w:t>超薄罩面 ultra-thin overlay</w:t>
      </w:r>
      <w:bookmarkEnd w:id="59"/>
      <w:r>
        <w:rPr>
          <w:rFonts w:hAnsi="黑体"/>
        </w:rPr>
        <w:t>s</w:t>
      </w:r>
      <w:bookmarkEnd w:id="60"/>
      <w:bookmarkEnd w:id="61"/>
      <w:bookmarkEnd w:id="62"/>
      <w:bookmarkEnd w:id="63"/>
      <w:bookmarkEnd w:id="64"/>
      <w:bookmarkEnd w:id="65"/>
    </w:p>
    <w:p w14:paraId="4DC8533D">
      <w:pPr>
        <w:pStyle w:val="238"/>
        <w:tabs>
          <w:tab w:val="clear" w:pos="4201"/>
          <w:tab w:val="clear" w:pos="9298"/>
        </w:tabs>
        <w:rPr>
          <w:rFonts w:hAnsi="宋体"/>
        </w:rPr>
      </w:pPr>
      <w:r>
        <w:rPr>
          <w:rFonts w:hint="eastAsia" w:hAnsi="宋体"/>
        </w:rPr>
        <w:t>厚度小于2</w:t>
      </w:r>
      <w:r>
        <w:rPr>
          <w:rFonts w:hAnsi="宋体"/>
        </w:rPr>
        <w:t>5</w:t>
      </w:r>
      <w:r>
        <w:rPr>
          <w:rFonts w:hint="eastAsia" w:hAnsi="宋体"/>
        </w:rPr>
        <w:t xml:space="preserve"> </w:t>
      </w:r>
      <w:r>
        <w:rPr>
          <w:rFonts w:hAnsi="宋体"/>
        </w:rPr>
        <w:t>mm</w:t>
      </w:r>
      <w:r>
        <w:rPr>
          <w:rFonts w:hint="eastAsia" w:hAnsi="宋体"/>
        </w:rPr>
        <w:t>的沥青混合料加铺层</w:t>
      </w:r>
      <w:r>
        <w:rPr>
          <w:rFonts w:hAnsi="宋体"/>
        </w:rPr>
        <w:t xml:space="preserve">。                                                                                                                                                                                                                                                                                                                                                                                                                                                                                             </w:t>
      </w:r>
    </w:p>
    <w:p w14:paraId="192E2D3E">
      <w:pPr>
        <w:pStyle w:val="187"/>
      </w:pPr>
      <w:r>
        <w:rPr>
          <w:rFonts w:hint="eastAsia"/>
        </w:rPr>
        <w:t>厚度不小于</w:t>
      </w:r>
      <w:r>
        <w:t>15</w:t>
      </w:r>
      <w:r>
        <w:rPr>
          <w:rFonts w:hint="eastAsia"/>
        </w:rPr>
        <w:t xml:space="preserve"> mm。</w:t>
      </w:r>
    </w:p>
    <w:p w14:paraId="1B8A7473">
      <w:pPr>
        <w:pStyle w:val="238"/>
        <w:tabs>
          <w:tab w:val="clear" w:pos="4201"/>
          <w:tab w:val="clear" w:pos="9298"/>
        </w:tabs>
        <w:rPr>
          <w:rFonts w:hAnsi="宋体"/>
        </w:rPr>
      </w:pPr>
      <w:r>
        <w:rPr>
          <w:rFonts w:hint="eastAsia"/>
        </w:rPr>
        <w:t>[来源：</w:t>
      </w:r>
      <w:r>
        <w:t>JTG</w:t>
      </w:r>
      <w:r>
        <w:rPr>
          <w:rFonts w:hint="eastAsia"/>
        </w:rPr>
        <w:t>/T</w:t>
      </w:r>
      <w:r>
        <w:t xml:space="preserve"> </w:t>
      </w:r>
      <w:r>
        <w:rPr>
          <w:rFonts w:hint="eastAsia"/>
        </w:rPr>
        <w:t>5142-01</w:t>
      </w:r>
      <w:r>
        <w:rPr>
          <w:rFonts w:hint="eastAsia"/>
          <w:color w:val="000000" w:themeColor="text1"/>
          <w14:textFill>
            <w14:solidFill>
              <w14:schemeClr w14:val="tx1"/>
            </w14:solidFill>
          </w14:textFill>
        </w:rPr>
        <w:t>—2021</w:t>
      </w:r>
      <w:r>
        <w:rPr>
          <w:rFonts w:hint="eastAsia"/>
        </w:rPr>
        <w:t>，2</w:t>
      </w:r>
      <w:r>
        <w:t>.1.</w:t>
      </w:r>
      <w:r>
        <w:rPr>
          <w:rFonts w:hint="eastAsia"/>
        </w:rPr>
        <w:t>6]</w:t>
      </w:r>
    </w:p>
    <w:p w14:paraId="4072BC70">
      <w:pPr>
        <w:pStyle w:val="113"/>
        <w:spacing w:before="156" w:after="156"/>
        <w:rPr>
          <w:shd w:val="clear" w:color="auto" w:fill="FFFFFF"/>
        </w:rPr>
      </w:pPr>
      <w:bookmarkStart w:id="66" w:name="_Toc143595963"/>
      <w:bookmarkEnd w:id="66"/>
      <w:bookmarkStart w:id="67" w:name="_Toc175831105"/>
      <w:bookmarkEnd w:id="67"/>
      <w:bookmarkStart w:id="68" w:name="_Toc176167835"/>
      <w:bookmarkEnd w:id="68"/>
      <w:bookmarkStart w:id="69" w:name="_Toc109140473"/>
      <w:bookmarkEnd w:id="69"/>
      <w:bookmarkStart w:id="70" w:name="_Toc176160763"/>
      <w:bookmarkEnd w:id="70"/>
      <w:bookmarkStart w:id="71" w:name="_Toc183897597"/>
      <w:bookmarkStart w:id="72" w:name="_Toc184997573"/>
      <w:bookmarkStart w:id="73" w:name="_Toc183897502"/>
      <w:bookmarkStart w:id="74" w:name="_Toc183898435"/>
      <w:bookmarkStart w:id="75" w:name="_Toc183898597"/>
      <w:bookmarkStart w:id="76" w:name="_Toc183898282"/>
      <w:bookmarkStart w:id="77" w:name="_Toc109140474"/>
    </w:p>
    <w:p w14:paraId="29A219D9">
      <w:pPr>
        <w:pStyle w:val="113"/>
        <w:numPr>
          <w:ilvl w:val="0"/>
          <w:numId w:val="0"/>
        </w:numPr>
        <w:spacing w:before="0" w:beforeLines="0" w:after="0" w:afterLines="0"/>
        <w:ind w:firstLine="420" w:firstLineChars="200"/>
        <w:rPr>
          <w:shd w:val="clear" w:color="auto" w:fill="FFFFFF"/>
        </w:rPr>
      </w:pPr>
      <w:r>
        <w:rPr>
          <w:rFonts w:hAnsi="黑体"/>
        </w:rPr>
        <w:t>高黏韧性改性沥青 high viscosity and toughness modified asphalt</w:t>
      </w:r>
      <w:bookmarkEnd w:id="71"/>
      <w:bookmarkEnd w:id="72"/>
      <w:bookmarkEnd w:id="73"/>
      <w:bookmarkEnd w:id="74"/>
      <w:bookmarkEnd w:id="75"/>
      <w:bookmarkEnd w:id="76"/>
      <w:r>
        <w:rPr>
          <w:rFonts w:hAnsi="黑体"/>
        </w:rPr>
        <w:t xml:space="preserve"> </w:t>
      </w:r>
      <w:bookmarkEnd w:id="77"/>
    </w:p>
    <w:p w14:paraId="4AC66AE7">
      <w:pPr>
        <w:pStyle w:val="238"/>
        <w:tabs>
          <w:tab w:val="clear" w:pos="4201"/>
          <w:tab w:val="clear" w:pos="9298"/>
        </w:tabs>
        <w:rPr>
          <w:rFonts w:hAnsi="宋体"/>
        </w:rPr>
      </w:pPr>
      <w:r>
        <w:rPr>
          <w:rFonts w:hint="eastAsia" w:hAnsi="宋体"/>
        </w:rPr>
        <w:t>6</w:t>
      </w:r>
      <w:r>
        <w:rPr>
          <w:rFonts w:hAnsi="宋体"/>
        </w:rPr>
        <w:t>0</w:t>
      </w:r>
      <w:r>
        <w:rPr>
          <w:rFonts w:hint="eastAsia" w:hAnsi="宋体"/>
        </w:rPr>
        <w:t>℃动力黏度不小于100000 Pa·s，3</w:t>
      </w:r>
      <w:r>
        <w:rPr>
          <w:rFonts w:hAnsi="宋体"/>
        </w:rPr>
        <w:t>0℃</w:t>
      </w:r>
      <w:r>
        <w:rPr>
          <w:rFonts w:hint="eastAsia" w:hAnsi="宋体"/>
        </w:rPr>
        <w:t>黏韧性不小于20 N·m的改性沥青。</w:t>
      </w:r>
    </w:p>
    <w:p w14:paraId="32BD6314">
      <w:pPr>
        <w:pStyle w:val="113"/>
        <w:spacing w:before="156" w:after="156"/>
        <w:rPr>
          <w:shd w:val="clear" w:color="auto" w:fill="FFFFFF"/>
        </w:rPr>
      </w:pPr>
      <w:bookmarkStart w:id="78" w:name="_Toc109140475"/>
      <w:bookmarkEnd w:id="78"/>
      <w:bookmarkStart w:id="79" w:name="_Toc175831106"/>
      <w:bookmarkEnd w:id="79"/>
      <w:bookmarkStart w:id="80" w:name="_Toc176160764"/>
      <w:bookmarkEnd w:id="80"/>
      <w:bookmarkStart w:id="81" w:name="_Toc143595964"/>
      <w:bookmarkEnd w:id="81"/>
      <w:bookmarkStart w:id="82" w:name="_Toc176167836"/>
      <w:bookmarkEnd w:id="82"/>
      <w:bookmarkStart w:id="83" w:name="_Toc109140476"/>
      <w:bookmarkStart w:id="84" w:name="_Toc183897598"/>
      <w:bookmarkStart w:id="85" w:name="_Toc184997574"/>
      <w:bookmarkStart w:id="86" w:name="_Toc183897503"/>
      <w:bookmarkStart w:id="87" w:name="_Toc183898598"/>
      <w:bookmarkStart w:id="88" w:name="_Toc183898436"/>
      <w:bookmarkStart w:id="89" w:name="_Toc183898283"/>
    </w:p>
    <w:p w14:paraId="39000E4A">
      <w:pPr>
        <w:pStyle w:val="113"/>
        <w:numPr>
          <w:ilvl w:val="0"/>
          <w:numId w:val="0"/>
        </w:numPr>
        <w:spacing w:before="0" w:beforeLines="0" w:after="0" w:afterLines="0"/>
        <w:ind w:firstLine="420" w:firstLineChars="200"/>
        <w:rPr>
          <w:shd w:val="clear" w:color="auto" w:fill="FFFFFF"/>
        </w:rPr>
      </w:pPr>
      <w:r>
        <w:rPr>
          <w:rFonts w:hAnsi="黑体"/>
        </w:rPr>
        <w:t>高</w:t>
      </w:r>
      <w:r>
        <w:rPr>
          <w:rFonts w:hint="eastAsia" w:hAnsi="黑体"/>
        </w:rPr>
        <w:t>黏</w:t>
      </w:r>
      <w:r>
        <w:rPr>
          <w:rFonts w:hAnsi="黑体"/>
        </w:rPr>
        <w:t>改性乳化沥青  high viscosity modified asphalt emulsion</w:t>
      </w:r>
      <w:bookmarkEnd w:id="83"/>
      <w:bookmarkEnd w:id="84"/>
      <w:bookmarkEnd w:id="85"/>
      <w:bookmarkEnd w:id="86"/>
      <w:bookmarkEnd w:id="87"/>
      <w:bookmarkEnd w:id="88"/>
      <w:bookmarkEnd w:id="89"/>
    </w:p>
    <w:p w14:paraId="5230F5B6">
      <w:pPr>
        <w:pStyle w:val="238"/>
        <w:tabs>
          <w:tab w:val="clear" w:pos="4201"/>
          <w:tab w:val="clear" w:pos="9298"/>
        </w:tabs>
        <w:rPr>
          <w:rFonts w:hAnsi="宋体"/>
        </w:rPr>
      </w:pPr>
      <w:r>
        <w:rPr>
          <w:rFonts w:hAnsi="宋体"/>
        </w:rPr>
        <w:t>蒸发残留物60</w:t>
      </w:r>
      <w:r>
        <w:rPr>
          <w:rFonts w:hint="eastAsia" w:hAnsi="宋体"/>
        </w:rPr>
        <w:t xml:space="preserve"> </w:t>
      </w:r>
      <w:r>
        <w:rPr>
          <w:rFonts w:hAnsi="宋体"/>
        </w:rPr>
        <w:t>℃</w:t>
      </w:r>
      <w:r>
        <w:rPr>
          <w:rFonts w:hint="eastAsia" w:hAnsi="宋体"/>
        </w:rPr>
        <w:t>动力黏</w:t>
      </w:r>
      <w:r>
        <w:rPr>
          <w:rFonts w:hAnsi="宋体"/>
        </w:rPr>
        <w:t>度不小于10000</w:t>
      </w:r>
      <w:r>
        <w:rPr>
          <w:rFonts w:hint="eastAsia" w:hAnsi="宋体"/>
        </w:rPr>
        <w:t xml:space="preserve"> </w:t>
      </w:r>
      <w:r>
        <w:rPr>
          <w:rFonts w:hAnsi="宋体"/>
        </w:rPr>
        <w:t>Pa·s 的改性乳化沥青。</w:t>
      </w:r>
    </w:p>
    <w:p w14:paraId="740F8B62">
      <w:pPr>
        <w:pStyle w:val="113"/>
        <w:spacing w:before="156" w:after="156"/>
        <w:rPr>
          <w:rFonts w:hAnsi="黑体"/>
        </w:rPr>
      </w:pPr>
      <w:bookmarkStart w:id="90" w:name="_Toc109140477"/>
      <w:bookmarkEnd w:id="90"/>
      <w:bookmarkStart w:id="91" w:name="_Toc143595965"/>
      <w:bookmarkEnd w:id="91"/>
      <w:bookmarkStart w:id="92" w:name="_Toc176160765"/>
      <w:bookmarkEnd w:id="92"/>
      <w:bookmarkStart w:id="93" w:name="_Toc175831107"/>
      <w:bookmarkEnd w:id="93"/>
      <w:bookmarkStart w:id="94" w:name="_Toc176167837"/>
      <w:bookmarkEnd w:id="94"/>
      <w:bookmarkStart w:id="95" w:name="_Toc109140478"/>
      <w:bookmarkStart w:id="96" w:name="_Toc184997575"/>
      <w:bookmarkStart w:id="97" w:name="_Toc183898599"/>
      <w:bookmarkStart w:id="98" w:name="_Toc183897504"/>
      <w:bookmarkStart w:id="99" w:name="_Toc183898284"/>
      <w:bookmarkStart w:id="100" w:name="_Toc183897599"/>
      <w:bookmarkStart w:id="101" w:name="_Toc183898437"/>
    </w:p>
    <w:p w14:paraId="3B4F363D">
      <w:pPr>
        <w:pStyle w:val="113"/>
        <w:numPr>
          <w:ilvl w:val="0"/>
          <w:numId w:val="0"/>
        </w:numPr>
        <w:spacing w:before="0" w:beforeLines="0" w:after="0" w:afterLines="0"/>
        <w:ind w:firstLine="420" w:firstLineChars="200"/>
        <w:rPr>
          <w:rFonts w:hAnsi="黑体"/>
        </w:rPr>
      </w:pPr>
      <w:r>
        <w:rPr>
          <w:rFonts w:hAnsi="黑体"/>
        </w:rPr>
        <w:t>粘结层bonding layer</w:t>
      </w:r>
      <w:bookmarkEnd w:id="95"/>
      <w:bookmarkEnd w:id="96"/>
      <w:bookmarkEnd w:id="97"/>
      <w:bookmarkEnd w:id="98"/>
      <w:bookmarkEnd w:id="99"/>
      <w:bookmarkEnd w:id="100"/>
      <w:bookmarkEnd w:id="101"/>
    </w:p>
    <w:p w14:paraId="68E083F2">
      <w:pPr>
        <w:pStyle w:val="238"/>
        <w:tabs>
          <w:tab w:val="clear" w:pos="4201"/>
          <w:tab w:val="clear" w:pos="9298"/>
        </w:tabs>
        <w:rPr>
          <w:rFonts w:ascii="Times New Roman"/>
        </w:rPr>
      </w:pPr>
      <w:r>
        <w:rPr>
          <w:rFonts w:ascii="Times New Roman"/>
        </w:rPr>
        <w:t>设置在原路面与罩面</w:t>
      </w:r>
      <w:r>
        <w:rPr>
          <w:rFonts w:hint="eastAsia" w:ascii="Times New Roman"/>
        </w:rPr>
        <w:t>层</w:t>
      </w:r>
      <w:r>
        <w:rPr>
          <w:rFonts w:ascii="Times New Roman"/>
        </w:rPr>
        <w:t>之间，起到界面联结作用，并能阻止水分对路面侵蚀的</w:t>
      </w:r>
      <w:r>
        <w:rPr>
          <w:rFonts w:hint="eastAsia" w:ascii="Times New Roman"/>
        </w:rPr>
        <w:t>功能</w:t>
      </w:r>
      <w:r>
        <w:rPr>
          <w:rFonts w:ascii="Times New Roman"/>
        </w:rPr>
        <w:t>层。</w:t>
      </w:r>
    </w:p>
    <w:p w14:paraId="1728427C">
      <w:pPr>
        <w:pStyle w:val="113"/>
        <w:spacing w:before="156" w:after="156"/>
        <w:rPr>
          <w:rFonts w:hAnsi="黑体"/>
        </w:rPr>
      </w:pPr>
      <w:bookmarkStart w:id="102" w:name="_Toc109140481"/>
      <w:bookmarkEnd w:id="102"/>
      <w:bookmarkStart w:id="103" w:name="_Toc176167838"/>
      <w:bookmarkEnd w:id="103"/>
      <w:bookmarkStart w:id="104" w:name="_Toc176160766"/>
      <w:bookmarkEnd w:id="104"/>
      <w:bookmarkStart w:id="105" w:name="_Toc143595966"/>
      <w:bookmarkEnd w:id="105"/>
      <w:bookmarkStart w:id="106" w:name="_Toc175831108"/>
      <w:bookmarkEnd w:id="106"/>
      <w:bookmarkStart w:id="107" w:name="_Toc109140479"/>
      <w:bookmarkEnd w:id="107"/>
      <w:bookmarkStart w:id="108" w:name="_Toc109140482"/>
      <w:bookmarkStart w:id="109" w:name="_Toc183898600"/>
      <w:bookmarkStart w:id="110" w:name="_Toc183897505"/>
      <w:bookmarkStart w:id="111" w:name="_Toc183898438"/>
      <w:bookmarkStart w:id="112" w:name="_Toc183897600"/>
      <w:bookmarkStart w:id="113" w:name="_Toc183898285"/>
      <w:bookmarkStart w:id="114" w:name="_Toc184997576"/>
    </w:p>
    <w:p w14:paraId="0832C730">
      <w:pPr>
        <w:pStyle w:val="113"/>
        <w:numPr>
          <w:ilvl w:val="0"/>
          <w:numId w:val="0"/>
        </w:numPr>
        <w:spacing w:before="0" w:beforeLines="0" w:after="0" w:afterLines="0"/>
        <w:ind w:firstLine="420" w:firstLineChars="200"/>
        <w:rPr>
          <w:rFonts w:hAnsi="黑体"/>
        </w:rPr>
      </w:pPr>
      <w:r>
        <w:rPr>
          <w:rFonts w:hAnsi="黑体"/>
        </w:rPr>
        <w:t>高温压碎值 high temperature crush value</w:t>
      </w:r>
      <w:bookmarkEnd w:id="108"/>
      <w:bookmarkEnd w:id="109"/>
      <w:bookmarkEnd w:id="110"/>
      <w:bookmarkEnd w:id="111"/>
      <w:bookmarkEnd w:id="112"/>
      <w:bookmarkEnd w:id="113"/>
      <w:bookmarkEnd w:id="114"/>
      <w:r>
        <w:rPr>
          <w:rFonts w:hAnsi="黑体"/>
        </w:rPr>
        <w:t xml:space="preserve"> </w:t>
      </w:r>
    </w:p>
    <w:p w14:paraId="1F1041F9">
      <w:pPr>
        <w:pStyle w:val="238"/>
        <w:tabs>
          <w:tab w:val="clear" w:pos="4201"/>
          <w:tab w:val="clear" w:pos="9298"/>
        </w:tabs>
        <w:rPr>
          <w:rFonts w:ascii="Times New Roman"/>
        </w:rPr>
      </w:pPr>
      <w:r>
        <w:rPr>
          <w:rFonts w:hint="eastAsia" w:ascii="Times New Roman"/>
        </w:rPr>
        <w:t>集料在高温条件测得的压碎值。</w:t>
      </w:r>
    </w:p>
    <w:p w14:paraId="4DBFB683">
      <w:pPr>
        <w:pStyle w:val="187"/>
      </w:pPr>
      <w:r>
        <w:rPr>
          <w:rFonts w:hint="eastAsia"/>
        </w:rPr>
        <w:t>高温条件指190℃±5℃的温度条件。</w:t>
      </w:r>
    </w:p>
    <w:p w14:paraId="2EE04470">
      <w:pPr>
        <w:pStyle w:val="113"/>
        <w:spacing w:before="156" w:after="156"/>
        <w:rPr>
          <w:rFonts w:hAnsi="黑体"/>
        </w:rPr>
      </w:pPr>
      <w:bookmarkStart w:id="115" w:name="_Toc176160767"/>
      <w:bookmarkEnd w:id="115"/>
      <w:bookmarkStart w:id="116" w:name="_Toc109140487"/>
      <w:bookmarkEnd w:id="116"/>
      <w:bookmarkStart w:id="117" w:name="_Toc175831109"/>
      <w:bookmarkEnd w:id="117"/>
      <w:bookmarkStart w:id="118" w:name="_Toc143595967"/>
      <w:bookmarkEnd w:id="118"/>
      <w:bookmarkStart w:id="119" w:name="_Toc109140483"/>
      <w:bookmarkEnd w:id="119"/>
      <w:bookmarkStart w:id="120" w:name="_Toc176167839"/>
      <w:bookmarkEnd w:id="120"/>
      <w:bookmarkStart w:id="121" w:name="_Toc109140485"/>
      <w:bookmarkEnd w:id="121"/>
      <w:bookmarkStart w:id="122" w:name="OLE_LINK2"/>
      <w:bookmarkStart w:id="123" w:name="_Toc183897601"/>
      <w:bookmarkStart w:id="124" w:name="_Toc183898286"/>
      <w:bookmarkStart w:id="125" w:name="_Toc183898601"/>
      <w:bookmarkStart w:id="126" w:name="_Toc183897506"/>
      <w:bookmarkStart w:id="127" w:name="_Toc183898439"/>
      <w:bookmarkStart w:id="128" w:name="_Toc109140488"/>
      <w:bookmarkStart w:id="129" w:name="_Toc184997577"/>
    </w:p>
    <w:p w14:paraId="4EC99D40">
      <w:pPr>
        <w:pStyle w:val="113"/>
        <w:numPr>
          <w:ilvl w:val="0"/>
          <w:numId w:val="0"/>
        </w:numPr>
        <w:spacing w:before="0" w:beforeLines="0" w:after="0" w:afterLines="0"/>
        <w:ind w:firstLine="420" w:firstLineChars="200"/>
        <w:rPr>
          <w:rFonts w:hAnsi="黑体"/>
        </w:rPr>
      </w:pPr>
      <w:r>
        <w:rPr>
          <w:rFonts w:hAnsi="黑体"/>
        </w:rPr>
        <w:t>丰度系数</w:t>
      </w:r>
      <w:bookmarkEnd w:id="122"/>
      <w:r>
        <w:rPr>
          <w:rFonts w:hAnsi="黑体"/>
        </w:rPr>
        <w:t xml:space="preserve"> coefficient of abundance</w:t>
      </w:r>
      <w:bookmarkEnd w:id="123"/>
      <w:bookmarkEnd w:id="124"/>
      <w:bookmarkEnd w:id="125"/>
      <w:bookmarkEnd w:id="126"/>
      <w:bookmarkEnd w:id="127"/>
      <w:bookmarkEnd w:id="128"/>
      <w:bookmarkEnd w:id="129"/>
    </w:p>
    <w:p w14:paraId="27A27C0A">
      <w:pPr>
        <w:pStyle w:val="238"/>
        <w:rPr>
          <w:rFonts w:hAnsi="宋体"/>
        </w:rPr>
      </w:pPr>
      <w:r>
        <w:rPr>
          <w:rFonts w:hint="eastAsia" w:hAnsi="宋体"/>
        </w:rPr>
        <w:t>沥青</w:t>
      </w:r>
      <w:r>
        <w:rPr>
          <w:rFonts w:hAnsi="宋体"/>
        </w:rPr>
        <w:t>混合料油石比与修正集料比表面积的比值</w:t>
      </w:r>
      <w:r>
        <w:rPr>
          <w:rFonts w:hint="eastAsia" w:hAnsi="宋体"/>
        </w:rPr>
        <w:t>。</w:t>
      </w:r>
      <w:r>
        <w:rPr>
          <w:rFonts w:hAnsi="宋体"/>
        </w:rPr>
        <w:t xml:space="preserve"> </w:t>
      </w:r>
    </w:p>
    <w:p w14:paraId="1F7D52AB">
      <w:pPr>
        <w:pStyle w:val="112"/>
        <w:spacing w:before="312" w:after="312"/>
      </w:pPr>
      <w:bookmarkStart w:id="130" w:name="_Toc183898440"/>
      <w:bookmarkStart w:id="131" w:name="_Toc184997578"/>
      <w:bookmarkStart w:id="132" w:name="_Toc183898583"/>
      <w:bookmarkStart w:id="133" w:name="_Toc176167840"/>
      <w:bookmarkStart w:id="134" w:name="_Toc183898287"/>
      <w:bookmarkStart w:id="135" w:name="_Toc183897507"/>
      <w:bookmarkStart w:id="136" w:name="_Toc183897602"/>
      <w:r>
        <w:t>总体要求</w:t>
      </w:r>
      <w:bookmarkEnd w:id="130"/>
      <w:bookmarkEnd w:id="131"/>
      <w:bookmarkEnd w:id="132"/>
      <w:bookmarkEnd w:id="133"/>
      <w:bookmarkEnd w:id="134"/>
      <w:bookmarkEnd w:id="135"/>
      <w:bookmarkEnd w:id="136"/>
    </w:p>
    <w:p w14:paraId="25D92517">
      <w:pPr>
        <w:pStyle w:val="113"/>
        <w:spacing w:before="156" w:after="156"/>
        <w:rPr>
          <w:rFonts w:ascii="宋体" w:hAnsi="宋体" w:eastAsia="宋体"/>
        </w:rPr>
      </w:pPr>
      <w:bookmarkStart w:id="137" w:name="_Toc183898603"/>
      <w:bookmarkStart w:id="138" w:name="_Toc183898288"/>
      <w:bookmarkStart w:id="139" w:name="_Toc183897603"/>
      <w:bookmarkStart w:id="140" w:name="_Toc184997579"/>
      <w:bookmarkStart w:id="141" w:name="_Toc183898441"/>
      <w:bookmarkStart w:id="142" w:name="_Toc183897508"/>
      <w:bookmarkStart w:id="143" w:name="_Toc143595970"/>
      <w:bookmarkStart w:id="144" w:name="_Toc176167841"/>
      <w:bookmarkStart w:id="145" w:name="_Toc176160770"/>
      <w:bookmarkStart w:id="146" w:name="_Toc175831112"/>
      <w:bookmarkStart w:id="147" w:name="_Toc109140492"/>
      <w:r>
        <w:rPr>
          <w:rFonts w:hint="eastAsia" w:ascii="宋体" w:hAnsi="宋体" w:eastAsia="宋体"/>
        </w:rPr>
        <w:t>实施超薄罩面前，应依据JTG 3450和JTG 5210对原路面进行公路技术状况评定，公路路况水平应符合JTG 5142的规定。</w:t>
      </w:r>
      <w:bookmarkEnd w:id="137"/>
      <w:bookmarkEnd w:id="138"/>
      <w:bookmarkEnd w:id="139"/>
      <w:bookmarkEnd w:id="140"/>
      <w:bookmarkEnd w:id="141"/>
      <w:bookmarkEnd w:id="142"/>
    </w:p>
    <w:p w14:paraId="1670BB53">
      <w:pPr>
        <w:pStyle w:val="113"/>
        <w:spacing w:before="156" w:after="156"/>
        <w:rPr>
          <w:rFonts w:ascii="宋体" w:hAnsi="宋体" w:eastAsia="宋体"/>
        </w:rPr>
      </w:pPr>
      <w:bookmarkStart w:id="148" w:name="_Toc183897604"/>
      <w:bookmarkStart w:id="149" w:name="_Toc183897509"/>
      <w:bookmarkStart w:id="150" w:name="_Toc183898289"/>
      <w:bookmarkStart w:id="151" w:name="_Toc184997580"/>
      <w:bookmarkStart w:id="152" w:name="_Toc183898442"/>
      <w:bookmarkStart w:id="153" w:name="_Toc183898604"/>
      <w:r>
        <w:rPr>
          <w:rFonts w:hint="eastAsia" w:ascii="宋体" w:hAnsi="宋体" w:eastAsia="宋体"/>
        </w:rPr>
        <w:t>超薄罩面</w:t>
      </w:r>
      <w:bookmarkStart w:id="154" w:name="_Hlk185151493"/>
      <w:r>
        <w:rPr>
          <w:rFonts w:hint="eastAsia" w:ascii="宋体" w:hAnsi="宋体" w:eastAsia="宋体"/>
        </w:rPr>
        <w:t>除符合本文件规定外，其他技术要求应符合J</w:t>
      </w:r>
      <w:r>
        <w:rPr>
          <w:rFonts w:ascii="宋体" w:hAnsi="宋体" w:eastAsia="宋体"/>
        </w:rPr>
        <w:t>TG D50、</w:t>
      </w:r>
      <w:r>
        <w:rPr>
          <w:rFonts w:hint="eastAsia" w:ascii="宋体" w:hAnsi="宋体" w:eastAsia="宋体"/>
        </w:rPr>
        <w:t>JTG F40、JTG 5110、JTG 5142的规定。</w:t>
      </w:r>
      <w:bookmarkEnd w:id="148"/>
      <w:bookmarkEnd w:id="149"/>
      <w:bookmarkEnd w:id="150"/>
      <w:bookmarkEnd w:id="151"/>
      <w:bookmarkEnd w:id="152"/>
      <w:bookmarkEnd w:id="153"/>
      <w:bookmarkEnd w:id="154"/>
    </w:p>
    <w:bookmarkEnd w:id="143"/>
    <w:bookmarkEnd w:id="144"/>
    <w:bookmarkEnd w:id="145"/>
    <w:bookmarkEnd w:id="146"/>
    <w:bookmarkEnd w:id="147"/>
    <w:p w14:paraId="7DCF1C11">
      <w:pPr>
        <w:pStyle w:val="112"/>
        <w:spacing w:before="312" w:after="312"/>
      </w:pPr>
      <w:bookmarkStart w:id="155" w:name="_Toc184997581"/>
      <w:bookmarkStart w:id="156" w:name="_Toc183898443"/>
      <w:bookmarkStart w:id="157" w:name="_Toc176167843"/>
      <w:bookmarkStart w:id="158" w:name="_Toc183897510"/>
      <w:bookmarkStart w:id="159" w:name="_Toc183898290"/>
      <w:bookmarkStart w:id="160" w:name="_Toc183897605"/>
      <w:bookmarkStart w:id="161" w:name="_Toc183898584"/>
      <w:r>
        <w:t>材料</w:t>
      </w:r>
      <w:bookmarkEnd w:id="155"/>
      <w:bookmarkEnd w:id="156"/>
      <w:bookmarkEnd w:id="157"/>
      <w:bookmarkEnd w:id="158"/>
      <w:bookmarkEnd w:id="159"/>
      <w:bookmarkEnd w:id="160"/>
      <w:bookmarkEnd w:id="161"/>
    </w:p>
    <w:p w14:paraId="0D74ABDE">
      <w:pPr>
        <w:pStyle w:val="113"/>
        <w:spacing w:before="156" w:after="156"/>
      </w:pPr>
      <w:bookmarkStart w:id="162" w:name="_Toc183898291"/>
      <w:bookmarkStart w:id="163" w:name="_Toc176167845"/>
      <w:bookmarkStart w:id="164" w:name="_Toc184997582"/>
      <w:bookmarkStart w:id="165" w:name="_Toc183898444"/>
      <w:bookmarkStart w:id="166" w:name="_Toc183897606"/>
      <w:bookmarkStart w:id="167" w:name="_Toc183897511"/>
      <w:r>
        <w:t>沥青胶结料</w:t>
      </w:r>
      <w:bookmarkEnd w:id="162"/>
      <w:bookmarkEnd w:id="163"/>
      <w:bookmarkEnd w:id="164"/>
      <w:bookmarkEnd w:id="165"/>
      <w:bookmarkEnd w:id="166"/>
      <w:bookmarkEnd w:id="167"/>
    </w:p>
    <w:p w14:paraId="4FF22882">
      <w:pPr>
        <w:pStyle w:val="250"/>
        <w:numPr>
          <w:ilvl w:val="0"/>
          <w:numId w:val="0"/>
        </w:numPr>
        <w:spacing w:before="0" w:beforeLines="0" w:after="0" w:afterLines="0"/>
        <w:ind w:firstLine="420" w:firstLineChars="200"/>
        <w:rPr>
          <w:rFonts w:ascii="宋体" w:hAnsi="宋体" w:eastAsia="宋体"/>
          <w:szCs w:val="20"/>
        </w:rPr>
      </w:pPr>
      <w:r>
        <w:rPr>
          <w:rFonts w:ascii="宋体" w:hAnsi="宋体" w:eastAsia="宋体"/>
          <w:szCs w:val="20"/>
        </w:rPr>
        <w:t>超薄罩面</w:t>
      </w:r>
      <w:r>
        <w:rPr>
          <w:rFonts w:hint="eastAsia" w:ascii="宋体" w:hAnsi="宋体" w:eastAsia="宋体"/>
          <w:szCs w:val="20"/>
        </w:rPr>
        <w:t>沥青混合料</w:t>
      </w:r>
      <w:r>
        <w:rPr>
          <w:rFonts w:ascii="宋体" w:hAnsi="宋体" w:eastAsia="宋体"/>
          <w:szCs w:val="20"/>
        </w:rPr>
        <w:t>用胶结料</w:t>
      </w:r>
      <w:r>
        <w:rPr>
          <w:rFonts w:hint="eastAsia" w:ascii="宋体" w:hAnsi="宋体" w:eastAsia="宋体"/>
          <w:szCs w:val="20"/>
        </w:rPr>
        <w:t>宜优先</w:t>
      </w:r>
      <w:r>
        <w:rPr>
          <w:rFonts w:ascii="宋体" w:hAnsi="宋体" w:eastAsia="宋体"/>
          <w:szCs w:val="20"/>
        </w:rPr>
        <w:t>采用高黏韧性改性沥青，其</w:t>
      </w:r>
      <w:r>
        <w:rPr>
          <w:rFonts w:hint="eastAsia" w:ascii="宋体" w:hAnsi="宋体" w:eastAsia="宋体"/>
          <w:szCs w:val="20"/>
        </w:rPr>
        <w:t>技术要求</w:t>
      </w:r>
      <w:r>
        <w:rPr>
          <w:rFonts w:ascii="宋体" w:hAnsi="宋体" w:eastAsia="宋体"/>
          <w:szCs w:val="20"/>
        </w:rPr>
        <w:t>应符合表</w:t>
      </w:r>
      <w:r>
        <w:rPr>
          <w:rFonts w:hint="eastAsia" w:ascii="宋体" w:hAnsi="宋体" w:eastAsia="宋体"/>
          <w:szCs w:val="20"/>
        </w:rPr>
        <w:t>1</w:t>
      </w:r>
      <w:r>
        <w:rPr>
          <w:rFonts w:ascii="宋体" w:hAnsi="宋体" w:eastAsia="宋体"/>
          <w:szCs w:val="20"/>
        </w:rPr>
        <w:t>的</w:t>
      </w:r>
      <w:r>
        <w:rPr>
          <w:rFonts w:hint="eastAsia" w:ascii="宋体" w:hAnsi="宋体" w:eastAsia="宋体"/>
          <w:szCs w:val="20"/>
        </w:rPr>
        <w:t>规定</w:t>
      </w:r>
      <w:r>
        <w:rPr>
          <w:rFonts w:ascii="宋体" w:hAnsi="宋体" w:eastAsia="宋体"/>
          <w:szCs w:val="20"/>
        </w:rPr>
        <w:t>。</w:t>
      </w:r>
    </w:p>
    <w:p w14:paraId="1808DA4C">
      <w:pPr>
        <w:pStyle w:val="120"/>
        <w:spacing w:before="156" w:after="156"/>
      </w:pPr>
      <w:r>
        <w:t>高</w:t>
      </w:r>
      <w:r>
        <w:rPr>
          <w:rFonts w:hint="eastAsia"/>
        </w:rPr>
        <w:t>黏</w:t>
      </w:r>
      <w:r>
        <w:t>韧性改性沥青技术要求与试验方法</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9"/>
        <w:gridCol w:w="1885"/>
        <w:gridCol w:w="3476"/>
      </w:tblGrid>
      <w:tr w14:paraId="1DE3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vAlign w:val="center"/>
          </w:tcPr>
          <w:p w14:paraId="26AB4BA2">
            <w:pPr>
              <w:snapToGrid w:val="0"/>
              <w:spacing w:line="240" w:lineRule="auto"/>
              <w:jc w:val="center"/>
              <w:rPr>
                <w:rFonts w:ascii="宋体" w:hAnsi="宋体"/>
                <w:sz w:val="18"/>
                <w:szCs w:val="18"/>
              </w:rPr>
            </w:pPr>
            <w:bookmarkStart w:id="168" w:name="_Hlk185148994"/>
            <w:r>
              <w:rPr>
                <w:rFonts w:ascii="宋体" w:hAnsi="宋体"/>
                <w:sz w:val="18"/>
                <w:szCs w:val="18"/>
              </w:rPr>
              <w:t>试验项目</w:t>
            </w:r>
          </w:p>
        </w:tc>
        <w:tc>
          <w:tcPr>
            <w:tcW w:w="985" w:type="pct"/>
            <w:vAlign w:val="center"/>
          </w:tcPr>
          <w:p w14:paraId="14815E45">
            <w:pPr>
              <w:snapToGrid w:val="0"/>
              <w:spacing w:line="240" w:lineRule="auto"/>
              <w:jc w:val="center"/>
              <w:rPr>
                <w:rFonts w:ascii="宋体" w:hAnsi="宋体"/>
                <w:sz w:val="18"/>
                <w:szCs w:val="18"/>
              </w:rPr>
            </w:pPr>
            <w:r>
              <w:rPr>
                <w:rFonts w:ascii="宋体" w:hAnsi="宋体"/>
                <w:sz w:val="18"/>
                <w:szCs w:val="18"/>
              </w:rPr>
              <w:t>技术要求</w:t>
            </w:r>
          </w:p>
        </w:tc>
        <w:tc>
          <w:tcPr>
            <w:tcW w:w="1816" w:type="pct"/>
            <w:vAlign w:val="center"/>
          </w:tcPr>
          <w:p w14:paraId="420A3D6E">
            <w:pPr>
              <w:snapToGrid w:val="0"/>
              <w:spacing w:line="240" w:lineRule="auto"/>
              <w:jc w:val="center"/>
              <w:rPr>
                <w:rFonts w:ascii="宋体" w:hAnsi="宋体"/>
                <w:sz w:val="18"/>
                <w:szCs w:val="18"/>
              </w:rPr>
            </w:pPr>
            <w:r>
              <w:rPr>
                <w:rFonts w:ascii="宋体" w:hAnsi="宋体"/>
                <w:sz w:val="18"/>
                <w:szCs w:val="18"/>
              </w:rPr>
              <w:t>试验方法</w:t>
            </w:r>
          </w:p>
        </w:tc>
      </w:tr>
      <w:tr w14:paraId="6A9F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vAlign w:val="center"/>
          </w:tcPr>
          <w:p w14:paraId="3BAF6E35">
            <w:pPr>
              <w:snapToGrid w:val="0"/>
              <w:spacing w:line="240" w:lineRule="auto"/>
              <w:jc w:val="center"/>
              <w:rPr>
                <w:rFonts w:ascii="宋体" w:hAnsi="宋体"/>
                <w:sz w:val="18"/>
                <w:szCs w:val="18"/>
              </w:rPr>
            </w:pPr>
            <w:r>
              <w:rPr>
                <w:rFonts w:ascii="宋体" w:hAnsi="宋体"/>
                <w:sz w:val="18"/>
                <w:szCs w:val="18"/>
              </w:rPr>
              <w:t>针入度（25℃，100</w:t>
            </w:r>
            <w:r>
              <w:rPr>
                <w:rFonts w:hint="eastAsia" w:ascii="宋体" w:hAnsi="宋体"/>
                <w:sz w:val="18"/>
                <w:szCs w:val="18"/>
              </w:rPr>
              <w:t xml:space="preserve"> </w:t>
            </w:r>
            <w:r>
              <w:rPr>
                <w:rFonts w:ascii="宋体" w:hAnsi="宋体"/>
                <w:sz w:val="18"/>
                <w:szCs w:val="18"/>
              </w:rPr>
              <w:t>g，5</w:t>
            </w:r>
            <w:r>
              <w:rPr>
                <w:rFonts w:hint="eastAsia" w:ascii="宋体" w:hAnsi="宋体"/>
                <w:sz w:val="18"/>
                <w:szCs w:val="18"/>
              </w:rPr>
              <w:t xml:space="preserve"> </w:t>
            </w:r>
            <w:r>
              <w:rPr>
                <w:rFonts w:ascii="宋体" w:hAnsi="宋体"/>
                <w:sz w:val="18"/>
                <w:szCs w:val="18"/>
              </w:rPr>
              <w:t>s）</w:t>
            </w:r>
            <w:r>
              <w:rPr>
                <w:rFonts w:hint="eastAsia" w:ascii="宋体" w:hAnsi="宋体"/>
                <w:sz w:val="18"/>
                <w:szCs w:val="18"/>
              </w:rPr>
              <w:t>/（</w:t>
            </w:r>
            <w:r>
              <w:rPr>
                <w:rFonts w:ascii="宋体" w:hAnsi="宋体"/>
                <w:sz w:val="18"/>
                <w:szCs w:val="18"/>
              </w:rPr>
              <w:t>0.1</w:t>
            </w:r>
            <w:r>
              <w:rPr>
                <w:rFonts w:hint="eastAsia" w:ascii="宋体" w:hAnsi="宋体"/>
                <w:sz w:val="18"/>
                <w:szCs w:val="18"/>
              </w:rPr>
              <w:t xml:space="preserve"> </w:t>
            </w:r>
            <w:r>
              <w:rPr>
                <w:rFonts w:ascii="宋体" w:hAnsi="宋体"/>
                <w:sz w:val="18"/>
                <w:szCs w:val="18"/>
              </w:rPr>
              <w:t>mm</w:t>
            </w:r>
            <w:r>
              <w:rPr>
                <w:rFonts w:hint="eastAsia" w:ascii="宋体" w:hAnsi="宋体"/>
                <w:sz w:val="18"/>
                <w:szCs w:val="18"/>
              </w:rPr>
              <w:t>）</w:t>
            </w:r>
          </w:p>
        </w:tc>
        <w:tc>
          <w:tcPr>
            <w:tcW w:w="985" w:type="pct"/>
            <w:vAlign w:val="center"/>
          </w:tcPr>
          <w:p w14:paraId="5423A931">
            <w:pPr>
              <w:snapToGrid w:val="0"/>
              <w:spacing w:line="240" w:lineRule="auto"/>
              <w:jc w:val="center"/>
              <w:rPr>
                <w:rFonts w:ascii="宋体" w:hAnsi="宋体"/>
                <w:sz w:val="18"/>
                <w:szCs w:val="18"/>
              </w:rPr>
            </w:pPr>
            <w:r>
              <w:rPr>
                <w:rFonts w:ascii="宋体" w:hAnsi="宋体"/>
                <w:sz w:val="18"/>
                <w:szCs w:val="18"/>
              </w:rPr>
              <w:t>≥40</w:t>
            </w:r>
          </w:p>
        </w:tc>
        <w:tc>
          <w:tcPr>
            <w:tcW w:w="1816" w:type="pct"/>
            <w:vAlign w:val="center"/>
          </w:tcPr>
          <w:p w14:paraId="771E90A4">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0604</w:t>
            </w:r>
          </w:p>
        </w:tc>
      </w:tr>
      <w:tr w14:paraId="0969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vAlign w:val="center"/>
          </w:tcPr>
          <w:p w14:paraId="146AD08A">
            <w:pPr>
              <w:snapToGrid w:val="0"/>
              <w:spacing w:line="240" w:lineRule="auto"/>
              <w:jc w:val="center"/>
              <w:rPr>
                <w:rFonts w:ascii="宋体" w:hAnsi="宋体"/>
                <w:sz w:val="18"/>
                <w:szCs w:val="18"/>
              </w:rPr>
            </w:pPr>
            <w:r>
              <w:rPr>
                <w:rFonts w:ascii="宋体" w:hAnsi="宋体"/>
                <w:sz w:val="18"/>
                <w:szCs w:val="18"/>
              </w:rPr>
              <w:t>延度（5℃，5</w:t>
            </w:r>
            <w:r>
              <w:rPr>
                <w:rFonts w:hint="eastAsia" w:ascii="宋体" w:hAnsi="宋体"/>
                <w:sz w:val="18"/>
                <w:szCs w:val="18"/>
              </w:rPr>
              <w:t xml:space="preserve"> </w:t>
            </w:r>
            <w:r>
              <w:rPr>
                <w:rFonts w:ascii="宋体" w:hAnsi="宋体"/>
                <w:sz w:val="18"/>
                <w:szCs w:val="18"/>
              </w:rPr>
              <w:t>cm/min）</w:t>
            </w:r>
            <w:r>
              <w:rPr>
                <w:rFonts w:hint="eastAsia" w:ascii="宋体" w:hAnsi="宋体"/>
                <w:sz w:val="18"/>
                <w:szCs w:val="18"/>
              </w:rPr>
              <w:t>/（</w:t>
            </w:r>
            <w:r>
              <w:rPr>
                <w:rFonts w:ascii="宋体" w:hAnsi="宋体"/>
                <w:sz w:val="18"/>
                <w:szCs w:val="18"/>
              </w:rPr>
              <w:t>cm</w:t>
            </w:r>
            <w:r>
              <w:rPr>
                <w:rFonts w:hint="eastAsia" w:ascii="宋体" w:hAnsi="宋体"/>
                <w:sz w:val="18"/>
                <w:szCs w:val="18"/>
              </w:rPr>
              <w:t>）</w:t>
            </w:r>
          </w:p>
        </w:tc>
        <w:tc>
          <w:tcPr>
            <w:tcW w:w="985" w:type="pct"/>
            <w:vAlign w:val="center"/>
          </w:tcPr>
          <w:p w14:paraId="60CEFC52">
            <w:pPr>
              <w:snapToGrid w:val="0"/>
              <w:spacing w:line="240" w:lineRule="auto"/>
              <w:jc w:val="center"/>
              <w:rPr>
                <w:rFonts w:ascii="宋体" w:hAnsi="宋体"/>
                <w:sz w:val="18"/>
                <w:szCs w:val="18"/>
              </w:rPr>
            </w:pPr>
            <w:r>
              <w:rPr>
                <w:rFonts w:ascii="宋体" w:hAnsi="宋体"/>
                <w:sz w:val="18"/>
                <w:szCs w:val="18"/>
              </w:rPr>
              <w:t>≥25</w:t>
            </w:r>
          </w:p>
        </w:tc>
        <w:tc>
          <w:tcPr>
            <w:tcW w:w="1816" w:type="pct"/>
            <w:vAlign w:val="center"/>
          </w:tcPr>
          <w:p w14:paraId="7FB2CCD9">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0605</w:t>
            </w:r>
          </w:p>
        </w:tc>
      </w:tr>
      <w:tr w14:paraId="5AFA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vAlign w:val="center"/>
          </w:tcPr>
          <w:p w14:paraId="322EA0A5">
            <w:pPr>
              <w:snapToGrid w:val="0"/>
              <w:spacing w:line="240" w:lineRule="auto"/>
              <w:jc w:val="center"/>
              <w:rPr>
                <w:rFonts w:ascii="宋体" w:hAnsi="宋体"/>
                <w:sz w:val="18"/>
                <w:szCs w:val="18"/>
              </w:rPr>
            </w:pPr>
            <w:r>
              <w:rPr>
                <w:rFonts w:ascii="宋体" w:hAnsi="宋体"/>
                <w:sz w:val="18"/>
                <w:szCs w:val="18"/>
              </w:rPr>
              <w:t>软化点T</w:t>
            </w:r>
            <w:r>
              <w:rPr>
                <w:rFonts w:ascii="宋体" w:hAnsi="宋体"/>
                <w:szCs w:val="18"/>
                <w:vertAlign w:val="subscript"/>
              </w:rPr>
              <w:t>R&amp;B</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5" w:type="pct"/>
            <w:vAlign w:val="center"/>
          </w:tcPr>
          <w:p w14:paraId="41D5A0D3">
            <w:pPr>
              <w:snapToGrid w:val="0"/>
              <w:spacing w:line="240" w:lineRule="auto"/>
              <w:jc w:val="center"/>
              <w:rPr>
                <w:rFonts w:ascii="宋体" w:hAnsi="宋体"/>
                <w:sz w:val="18"/>
                <w:szCs w:val="18"/>
              </w:rPr>
            </w:pPr>
            <w:r>
              <w:rPr>
                <w:rFonts w:ascii="宋体" w:hAnsi="宋体"/>
                <w:sz w:val="18"/>
                <w:szCs w:val="18"/>
              </w:rPr>
              <w:t>≥80</w:t>
            </w:r>
          </w:p>
        </w:tc>
        <w:tc>
          <w:tcPr>
            <w:tcW w:w="1816" w:type="pct"/>
            <w:vAlign w:val="center"/>
          </w:tcPr>
          <w:p w14:paraId="3B87920C">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0606</w:t>
            </w:r>
          </w:p>
        </w:tc>
      </w:tr>
      <w:tr w14:paraId="5F2A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vAlign w:val="center"/>
          </w:tcPr>
          <w:p w14:paraId="5F3ABB34">
            <w:pPr>
              <w:snapToGrid w:val="0"/>
              <w:spacing w:line="240" w:lineRule="auto"/>
              <w:jc w:val="center"/>
              <w:rPr>
                <w:rFonts w:ascii="宋体" w:hAnsi="宋体"/>
                <w:sz w:val="18"/>
                <w:szCs w:val="18"/>
              </w:rPr>
            </w:pPr>
            <w:r>
              <w:rPr>
                <w:rFonts w:ascii="宋体" w:hAnsi="宋体"/>
                <w:sz w:val="18"/>
                <w:szCs w:val="18"/>
              </w:rPr>
              <w:t>动力</w:t>
            </w:r>
            <w:r>
              <w:rPr>
                <w:rFonts w:hint="eastAsia" w:ascii="宋体" w:hAnsi="宋体"/>
                <w:sz w:val="18"/>
                <w:szCs w:val="18"/>
              </w:rPr>
              <w:t>黏</w:t>
            </w:r>
            <w:r>
              <w:rPr>
                <w:rFonts w:ascii="宋体" w:hAnsi="宋体"/>
                <w:sz w:val="18"/>
                <w:szCs w:val="18"/>
              </w:rPr>
              <w:t>度（60℃）</w:t>
            </w:r>
            <w:r>
              <w:rPr>
                <w:rFonts w:hint="eastAsia" w:ascii="宋体" w:hAnsi="宋体"/>
                <w:sz w:val="18"/>
                <w:szCs w:val="18"/>
              </w:rPr>
              <w:t>/（</w:t>
            </w:r>
            <w:r>
              <w:rPr>
                <w:rFonts w:ascii="宋体" w:hAnsi="宋体"/>
                <w:sz w:val="18"/>
                <w:szCs w:val="18"/>
              </w:rPr>
              <w:t>Pa·s</w:t>
            </w:r>
            <w:r>
              <w:rPr>
                <w:rFonts w:hint="eastAsia" w:ascii="宋体" w:hAnsi="宋体"/>
                <w:sz w:val="18"/>
                <w:szCs w:val="18"/>
              </w:rPr>
              <w:t>）</w:t>
            </w:r>
          </w:p>
        </w:tc>
        <w:tc>
          <w:tcPr>
            <w:tcW w:w="985" w:type="pct"/>
            <w:vAlign w:val="center"/>
          </w:tcPr>
          <w:p w14:paraId="6B2CB49F">
            <w:pPr>
              <w:snapToGrid w:val="0"/>
              <w:spacing w:line="240" w:lineRule="auto"/>
              <w:jc w:val="center"/>
              <w:rPr>
                <w:rFonts w:ascii="宋体" w:hAnsi="宋体"/>
                <w:sz w:val="18"/>
                <w:szCs w:val="18"/>
              </w:rPr>
            </w:pPr>
            <w:r>
              <w:rPr>
                <w:rFonts w:ascii="宋体" w:hAnsi="宋体"/>
                <w:sz w:val="18"/>
                <w:szCs w:val="18"/>
              </w:rPr>
              <w:t>≥100,000</w:t>
            </w:r>
          </w:p>
        </w:tc>
        <w:tc>
          <w:tcPr>
            <w:tcW w:w="1816" w:type="pct"/>
            <w:vAlign w:val="center"/>
          </w:tcPr>
          <w:p w14:paraId="2D1A25D5">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0620</w:t>
            </w:r>
          </w:p>
        </w:tc>
      </w:tr>
      <w:tr w14:paraId="3695A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vAlign w:val="center"/>
          </w:tcPr>
          <w:p w14:paraId="70779F23">
            <w:pPr>
              <w:snapToGrid w:val="0"/>
              <w:spacing w:line="240" w:lineRule="auto"/>
              <w:jc w:val="center"/>
              <w:rPr>
                <w:rFonts w:ascii="宋体" w:hAnsi="宋体"/>
                <w:sz w:val="18"/>
                <w:szCs w:val="18"/>
              </w:rPr>
            </w:pPr>
            <w:r>
              <w:rPr>
                <w:rFonts w:hint="eastAsia" w:ascii="宋体" w:hAnsi="宋体"/>
                <w:sz w:val="18"/>
                <w:szCs w:val="18"/>
              </w:rPr>
              <w:t>布氏旋转</w:t>
            </w:r>
            <w:r>
              <w:rPr>
                <w:rFonts w:ascii="宋体" w:hAnsi="宋体"/>
                <w:sz w:val="18"/>
                <w:szCs w:val="18"/>
              </w:rPr>
              <w:t>黏度（175℃）</w:t>
            </w:r>
            <w:r>
              <w:rPr>
                <w:rFonts w:hint="eastAsia" w:ascii="宋体" w:hAnsi="宋体"/>
                <w:sz w:val="18"/>
                <w:szCs w:val="18"/>
              </w:rPr>
              <w:t>/（</w:t>
            </w:r>
            <w:r>
              <w:rPr>
                <w:rFonts w:ascii="宋体" w:hAnsi="宋体"/>
                <w:sz w:val="18"/>
                <w:szCs w:val="18"/>
              </w:rPr>
              <w:t>Pa·s</w:t>
            </w:r>
            <w:r>
              <w:rPr>
                <w:rFonts w:hint="eastAsia" w:ascii="宋体" w:hAnsi="宋体"/>
                <w:sz w:val="18"/>
                <w:szCs w:val="18"/>
              </w:rPr>
              <w:t>）</w:t>
            </w:r>
          </w:p>
        </w:tc>
        <w:tc>
          <w:tcPr>
            <w:tcW w:w="985" w:type="pct"/>
            <w:vAlign w:val="center"/>
          </w:tcPr>
          <w:p w14:paraId="3820E43F">
            <w:pPr>
              <w:snapToGrid w:val="0"/>
              <w:spacing w:line="240" w:lineRule="auto"/>
              <w:jc w:val="center"/>
              <w:rPr>
                <w:rFonts w:ascii="宋体" w:hAnsi="宋体"/>
                <w:sz w:val="18"/>
                <w:szCs w:val="18"/>
              </w:rPr>
            </w:pPr>
            <w:r>
              <w:rPr>
                <w:rFonts w:ascii="宋体" w:hAnsi="宋体"/>
                <w:sz w:val="18"/>
                <w:szCs w:val="18"/>
              </w:rPr>
              <w:t>≤2.0</w:t>
            </w:r>
          </w:p>
        </w:tc>
        <w:tc>
          <w:tcPr>
            <w:tcW w:w="1816" w:type="pct"/>
            <w:vAlign w:val="center"/>
          </w:tcPr>
          <w:p w14:paraId="60E11954">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0625</w:t>
            </w:r>
          </w:p>
        </w:tc>
      </w:tr>
      <w:tr w14:paraId="33907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vAlign w:val="center"/>
          </w:tcPr>
          <w:p w14:paraId="23C20856">
            <w:pPr>
              <w:snapToGrid w:val="0"/>
              <w:spacing w:line="240" w:lineRule="auto"/>
              <w:jc w:val="center"/>
              <w:rPr>
                <w:rFonts w:ascii="宋体" w:hAnsi="宋体"/>
                <w:sz w:val="18"/>
                <w:szCs w:val="18"/>
              </w:rPr>
            </w:pPr>
            <w:r>
              <w:rPr>
                <w:rFonts w:hint="eastAsia" w:ascii="宋体" w:hAnsi="宋体"/>
                <w:sz w:val="18"/>
                <w:szCs w:val="18"/>
              </w:rPr>
              <w:t>黏</w:t>
            </w:r>
            <w:r>
              <w:rPr>
                <w:rFonts w:ascii="宋体" w:hAnsi="宋体"/>
                <w:sz w:val="18"/>
                <w:szCs w:val="18"/>
              </w:rPr>
              <w:t>韧性（30℃）</w:t>
            </w:r>
            <w:r>
              <w:rPr>
                <w:rFonts w:hint="eastAsia" w:ascii="宋体" w:hAnsi="宋体"/>
                <w:sz w:val="18"/>
                <w:szCs w:val="18"/>
              </w:rPr>
              <w:t>/（</w:t>
            </w:r>
            <w:r>
              <w:rPr>
                <w:rFonts w:ascii="宋体" w:hAnsi="宋体"/>
                <w:sz w:val="18"/>
                <w:szCs w:val="18"/>
              </w:rPr>
              <w:t>N·m</w:t>
            </w:r>
            <w:r>
              <w:rPr>
                <w:rFonts w:hint="eastAsia" w:ascii="宋体" w:hAnsi="宋体"/>
                <w:sz w:val="18"/>
                <w:szCs w:val="18"/>
              </w:rPr>
              <w:t>）</w:t>
            </w:r>
          </w:p>
        </w:tc>
        <w:tc>
          <w:tcPr>
            <w:tcW w:w="985" w:type="pct"/>
            <w:vAlign w:val="center"/>
          </w:tcPr>
          <w:p w14:paraId="65C6A082">
            <w:pPr>
              <w:snapToGrid w:val="0"/>
              <w:spacing w:line="240" w:lineRule="auto"/>
              <w:jc w:val="center"/>
              <w:rPr>
                <w:rFonts w:ascii="宋体" w:hAnsi="宋体"/>
                <w:sz w:val="18"/>
                <w:szCs w:val="18"/>
              </w:rPr>
            </w:pPr>
            <w:r>
              <w:rPr>
                <w:rFonts w:ascii="宋体" w:hAnsi="宋体"/>
                <w:sz w:val="18"/>
                <w:szCs w:val="18"/>
              </w:rPr>
              <w:t>≥20</w:t>
            </w:r>
          </w:p>
        </w:tc>
        <w:tc>
          <w:tcPr>
            <w:tcW w:w="1816" w:type="pct"/>
            <w:vAlign w:val="center"/>
          </w:tcPr>
          <w:p w14:paraId="10089031">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0624</w:t>
            </w:r>
          </w:p>
        </w:tc>
      </w:tr>
      <w:bookmarkEnd w:id="168"/>
    </w:tbl>
    <w:p w14:paraId="6C6D5321">
      <w:pPr>
        <w:pStyle w:val="64"/>
        <w:ind w:firstLine="0" w:firstLineChars="0"/>
        <w:jc w:val="center"/>
        <w:rPr>
          <w:rFonts w:ascii="黑体" w:eastAsia="黑体"/>
        </w:rPr>
      </w:pPr>
      <w:bookmarkStart w:id="169" w:name="_Toc183897512"/>
      <w:bookmarkStart w:id="170" w:name="_Toc183897607"/>
      <w:bookmarkStart w:id="171" w:name="_Toc183898292"/>
      <w:bookmarkStart w:id="172" w:name="_Toc176167846"/>
      <w:bookmarkStart w:id="173" w:name="_Toc184997583"/>
      <w:bookmarkStart w:id="174" w:name="_Toc183898445"/>
    </w:p>
    <w:p w14:paraId="7420B61A">
      <w:pPr>
        <w:pStyle w:val="64"/>
        <w:ind w:firstLine="0" w:firstLineChars="0"/>
        <w:jc w:val="center"/>
        <w:rPr>
          <w:rFonts w:ascii="黑体" w:eastAsia="黑体"/>
        </w:rPr>
      </w:pPr>
      <w:r>
        <w:rPr>
          <w:rFonts w:hint="eastAsia" w:ascii="黑体" w:eastAsia="黑体"/>
        </w:rPr>
        <w:t>表</w:t>
      </w:r>
      <w:r>
        <w:rPr>
          <w:rFonts w:ascii="黑体" w:eastAsia="黑体"/>
        </w:rPr>
        <w:t>1</w:t>
      </w:r>
      <w:r>
        <w:rPr>
          <w:rFonts w:hint="eastAsia" w:ascii="黑体" w:eastAsia="黑体"/>
        </w:rPr>
        <w:t>　高黏韧性改性沥青技术要求与试验方法（续）</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3342"/>
        <w:gridCol w:w="1885"/>
        <w:gridCol w:w="3476"/>
      </w:tblGrid>
      <w:tr w14:paraId="207EC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gridSpan w:val="2"/>
            <w:vAlign w:val="center"/>
          </w:tcPr>
          <w:p w14:paraId="29986DD2">
            <w:pPr>
              <w:snapToGrid w:val="0"/>
              <w:spacing w:line="240" w:lineRule="auto"/>
              <w:jc w:val="center"/>
              <w:rPr>
                <w:rFonts w:ascii="宋体" w:hAnsi="宋体"/>
                <w:sz w:val="18"/>
                <w:szCs w:val="18"/>
              </w:rPr>
            </w:pPr>
            <w:r>
              <w:rPr>
                <w:rFonts w:ascii="宋体" w:hAnsi="宋体"/>
                <w:sz w:val="18"/>
                <w:szCs w:val="18"/>
              </w:rPr>
              <w:t>韧性（30℃）</w:t>
            </w:r>
            <w:r>
              <w:rPr>
                <w:rFonts w:hint="eastAsia" w:ascii="宋体" w:hAnsi="宋体"/>
                <w:sz w:val="18"/>
                <w:szCs w:val="18"/>
              </w:rPr>
              <w:t>/（</w:t>
            </w:r>
            <w:r>
              <w:rPr>
                <w:rFonts w:ascii="宋体" w:hAnsi="宋体"/>
                <w:sz w:val="18"/>
                <w:szCs w:val="18"/>
              </w:rPr>
              <w:t>N·m</w:t>
            </w:r>
            <w:r>
              <w:rPr>
                <w:rFonts w:hint="eastAsia" w:ascii="宋体" w:hAnsi="宋体"/>
                <w:sz w:val="18"/>
                <w:szCs w:val="18"/>
              </w:rPr>
              <w:t>）</w:t>
            </w:r>
          </w:p>
        </w:tc>
        <w:tc>
          <w:tcPr>
            <w:tcW w:w="985" w:type="pct"/>
            <w:vAlign w:val="center"/>
          </w:tcPr>
          <w:p w14:paraId="57B9CBA8">
            <w:pPr>
              <w:snapToGrid w:val="0"/>
              <w:spacing w:line="240" w:lineRule="auto"/>
              <w:jc w:val="center"/>
              <w:rPr>
                <w:rFonts w:ascii="宋体" w:hAnsi="宋体"/>
                <w:sz w:val="18"/>
                <w:szCs w:val="18"/>
              </w:rPr>
            </w:pPr>
            <w:r>
              <w:rPr>
                <w:rFonts w:ascii="宋体" w:hAnsi="宋体"/>
                <w:sz w:val="18"/>
                <w:szCs w:val="18"/>
              </w:rPr>
              <w:t>≥15</w:t>
            </w:r>
          </w:p>
        </w:tc>
        <w:tc>
          <w:tcPr>
            <w:tcW w:w="1816" w:type="pct"/>
            <w:vAlign w:val="center"/>
          </w:tcPr>
          <w:p w14:paraId="0DC6D8FB">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0624</w:t>
            </w:r>
          </w:p>
        </w:tc>
      </w:tr>
      <w:tr w14:paraId="521F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gridSpan w:val="2"/>
            <w:vAlign w:val="center"/>
          </w:tcPr>
          <w:p w14:paraId="3B800615">
            <w:pPr>
              <w:snapToGrid w:val="0"/>
              <w:spacing w:line="240" w:lineRule="auto"/>
              <w:jc w:val="center"/>
              <w:rPr>
                <w:rFonts w:ascii="宋体" w:hAnsi="宋体"/>
                <w:sz w:val="18"/>
                <w:szCs w:val="18"/>
              </w:rPr>
            </w:pPr>
            <w:r>
              <w:rPr>
                <w:rFonts w:ascii="宋体" w:hAnsi="宋体"/>
                <w:sz w:val="18"/>
                <w:szCs w:val="18"/>
              </w:rPr>
              <w:t>贮存稳定性，离析，48</w:t>
            </w:r>
            <w:r>
              <w:rPr>
                <w:rFonts w:hint="eastAsia" w:ascii="宋体" w:hAnsi="宋体"/>
                <w:sz w:val="18"/>
                <w:szCs w:val="18"/>
              </w:rPr>
              <w:t xml:space="preserve"> </w:t>
            </w:r>
            <w:r>
              <w:rPr>
                <w:rFonts w:ascii="宋体" w:hAnsi="宋体"/>
                <w:sz w:val="18"/>
                <w:szCs w:val="18"/>
              </w:rPr>
              <w:t>h软化点差</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5" w:type="pct"/>
            <w:vAlign w:val="center"/>
          </w:tcPr>
          <w:p w14:paraId="397634A9">
            <w:pPr>
              <w:snapToGrid w:val="0"/>
              <w:spacing w:line="240" w:lineRule="auto"/>
              <w:jc w:val="center"/>
              <w:rPr>
                <w:rFonts w:ascii="宋体" w:hAnsi="宋体"/>
                <w:sz w:val="18"/>
                <w:szCs w:val="18"/>
              </w:rPr>
            </w:pPr>
            <w:r>
              <w:rPr>
                <w:rFonts w:ascii="宋体" w:hAnsi="宋体"/>
                <w:sz w:val="18"/>
                <w:szCs w:val="18"/>
              </w:rPr>
              <w:t>≤2.5</w:t>
            </w:r>
          </w:p>
        </w:tc>
        <w:tc>
          <w:tcPr>
            <w:tcW w:w="1816" w:type="pct"/>
            <w:vAlign w:val="center"/>
          </w:tcPr>
          <w:p w14:paraId="06CF19DB">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0661</w:t>
            </w:r>
          </w:p>
        </w:tc>
      </w:tr>
      <w:tr w14:paraId="346F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gridSpan w:val="2"/>
            <w:vAlign w:val="center"/>
          </w:tcPr>
          <w:p w14:paraId="1F87F269">
            <w:pPr>
              <w:snapToGrid w:val="0"/>
              <w:spacing w:line="240" w:lineRule="auto"/>
              <w:jc w:val="center"/>
              <w:rPr>
                <w:rFonts w:ascii="宋体" w:hAnsi="宋体"/>
                <w:sz w:val="18"/>
                <w:szCs w:val="18"/>
              </w:rPr>
            </w:pPr>
            <w:r>
              <w:rPr>
                <w:rFonts w:ascii="宋体" w:hAnsi="宋体"/>
                <w:sz w:val="18"/>
                <w:szCs w:val="18"/>
              </w:rPr>
              <w:t>弹性恢复（25℃）</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5" w:type="pct"/>
            <w:vAlign w:val="center"/>
          </w:tcPr>
          <w:p w14:paraId="3D6B7917">
            <w:pPr>
              <w:snapToGrid w:val="0"/>
              <w:spacing w:line="240" w:lineRule="auto"/>
              <w:jc w:val="center"/>
              <w:rPr>
                <w:rFonts w:ascii="宋体" w:hAnsi="宋体"/>
                <w:sz w:val="18"/>
                <w:szCs w:val="18"/>
              </w:rPr>
            </w:pPr>
            <w:r>
              <w:rPr>
                <w:rFonts w:ascii="宋体" w:hAnsi="宋体"/>
                <w:sz w:val="18"/>
                <w:szCs w:val="18"/>
              </w:rPr>
              <w:t>≥90</w:t>
            </w:r>
          </w:p>
        </w:tc>
        <w:tc>
          <w:tcPr>
            <w:tcW w:w="1816" w:type="pct"/>
            <w:vAlign w:val="center"/>
          </w:tcPr>
          <w:p w14:paraId="5F11441D">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0662</w:t>
            </w:r>
          </w:p>
        </w:tc>
      </w:tr>
      <w:tr w14:paraId="709E4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3" w:type="pct"/>
            <w:vMerge w:val="restart"/>
            <w:vAlign w:val="center"/>
          </w:tcPr>
          <w:p w14:paraId="228AC8DF">
            <w:pPr>
              <w:snapToGrid w:val="0"/>
              <w:spacing w:line="240" w:lineRule="auto"/>
              <w:jc w:val="center"/>
              <w:rPr>
                <w:rFonts w:ascii="宋体" w:hAnsi="宋体"/>
                <w:sz w:val="18"/>
                <w:szCs w:val="18"/>
              </w:rPr>
            </w:pPr>
            <w:r>
              <w:rPr>
                <w:rFonts w:ascii="宋体" w:hAnsi="宋体"/>
                <w:sz w:val="18"/>
                <w:szCs w:val="18"/>
              </w:rPr>
              <w:t>TFOT（或RTFOT）</w:t>
            </w:r>
          </w:p>
        </w:tc>
        <w:tc>
          <w:tcPr>
            <w:tcW w:w="1746" w:type="pct"/>
            <w:vAlign w:val="center"/>
          </w:tcPr>
          <w:p w14:paraId="4148C97C">
            <w:pPr>
              <w:snapToGrid w:val="0"/>
              <w:spacing w:line="240" w:lineRule="auto"/>
              <w:jc w:val="center"/>
              <w:rPr>
                <w:rFonts w:ascii="宋体" w:hAnsi="宋体"/>
                <w:sz w:val="18"/>
                <w:szCs w:val="18"/>
              </w:rPr>
            </w:pPr>
            <w:r>
              <w:rPr>
                <w:rFonts w:ascii="宋体" w:hAnsi="宋体"/>
                <w:sz w:val="18"/>
                <w:szCs w:val="18"/>
              </w:rPr>
              <w:t>质量变化</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5" w:type="pct"/>
            <w:vAlign w:val="center"/>
          </w:tcPr>
          <w:p w14:paraId="206675E9">
            <w:pPr>
              <w:snapToGrid w:val="0"/>
              <w:spacing w:line="240" w:lineRule="auto"/>
              <w:jc w:val="center"/>
              <w:rPr>
                <w:rFonts w:ascii="宋体" w:hAnsi="宋体"/>
                <w:sz w:val="18"/>
                <w:szCs w:val="18"/>
              </w:rPr>
            </w:pPr>
            <w:r>
              <w:rPr>
                <w:rFonts w:ascii="宋体" w:hAnsi="宋体"/>
                <w:sz w:val="18"/>
                <w:szCs w:val="18"/>
              </w:rPr>
              <w:t>-1.0～+1.0</w:t>
            </w:r>
          </w:p>
        </w:tc>
        <w:tc>
          <w:tcPr>
            <w:tcW w:w="1816" w:type="pct"/>
            <w:vMerge w:val="restart"/>
            <w:vAlign w:val="center"/>
          </w:tcPr>
          <w:p w14:paraId="15C639A6">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0609或T 0610</w:t>
            </w:r>
          </w:p>
        </w:tc>
      </w:tr>
      <w:tr w14:paraId="5A8E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3" w:type="pct"/>
            <w:vMerge w:val="continue"/>
            <w:vAlign w:val="center"/>
          </w:tcPr>
          <w:p w14:paraId="03DC4C83">
            <w:pPr>
              <w:snapToGrid w:val="0"/>
              <w:spacing w:line="240" w:lineRule="auto"/>
              <w:jc w:val="center"/>
              <w:rPr>
                <w:rFonts w:ascii="宋体" w:hAnsi="宋体"/>
                <w:sz w:val="18"/>
                <w:szCs w:val="18"/>
              </w:rPr>
            </w:pPr>
          </w:p>
        </w:tc>
        <w:tc>
          <w:tcPr>
            <w:tcW w:w="1746" w:type="pct"/>
            <w:vAlign w:val="center"/>
          </w:tcPr>
          <w:p w14:paraId="356FF710">
            <w:pPr>
              <w:snapToGrid w:val="0"/>
              <w:spacing w:line="240" w:lineRule="auto"/>
              <w:jc w:val="center"/>
              <w:rPr>
                <w:rFonts w:ascii="宋体" w:hAnsi="宋体"/>
                <w:sz w:val="18"/>
                <w:szCs w:val="18"/>
              </w:rPr>
            </w:pPr>
            <w:r>
              <w:rPr>
                <w:rFonts w:ascii="宋体" w:hAnsi="宋体"/>
                <w:sz w:val="18"/>
                <w:szCs w:val="18"/>
              </w:rPr>
              <w:t>残留针入度比</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5" w:type="pct"/>
            <w:vAlign w:val="center"/>
          </w:tcPr>
          <w:p w14:paraId="2365E081">
            <w:pPr>
              <w:snapToGrid w:val="0"/>
              <w:spacing w:line="240" w:lineRule="auto"/>
              <w:jc w:val="center"/>
              <w:rPr>
                <w:rFonts w:ascii="宋体" w:hAnsi="宋体"/>
                <w:sz w:val="18"/>
                <w:szCs w:val="18"/>
              </w:rPr>
            </w:pPr>
            <w:r>
              <w:rPr>
                <w:rFonts w:ascii="宋体" w:hAnsi="宋体"/>
                <w:sz w:val="18"/>
                <w:szCs w:val="18"/>
              </w:rPr>
              <w:t>≥75</w:t>
            </w:r>
          </w:p>
        </w:tc>
        <w:tc>
          <w:tcPr>
            <w:tcW w:w="1816" w:type="pct"/>
            <w:vMerge w:val="continue"/>
            <w:vAlign w:val="center"/>
          </w:tcPr>
          <w:p w14:paraId="1662777A">
            <w:pPr>
              <w:snapToGrid w:val="0"/>
              <w:spacing w:line="240" w:lineRule="auto"/>
              <w:jc w:val="center"/>
              <w:rPr>
                <w:rFonts w:ascii="宋体" w:hAnsi="宋体"/>
                <w:sz w:val="18"/>
                <w:szCs w:val="18"/>
              </w:rPr>
            </w:pPr>
          </w:p>
        </w:tc>
      </w:tr>
      <w:tr w14:paraId="77C8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53" w:type="pct"/>
            <w:vMerge w:val="continue"/>
            <w:vAlign w:val="center"/>
          </w:tcPr>
          <w:p w14:paraId="1F994219">
            <w:pPr>
              <w:snapToGrid w:val="0"/>
              <w:spacing w:line="240" w:lineRule="auto"/>
              <w:jc w:val="center"/>
              <w:rPr>
                <w:rFonts w:ascii="宋体" w:hAnsi="宋体"/>
                <w:sz w:val="18"/>
                <w:szCs w:val="18"/>
              </w:rPr>
            </w:pPr>
          </w:p>
        </w:tc>
        <w:tc>
          <w:tcPr>
            <w:tcW w:w="1746" w:type="pct"/>
            <w:vAlign w:val="center"/>
          </w:tcPr>
          <w:p w14:paraId="55898642">
            <w:pPr>
              <w:snapToGrid w:val="0"/>
              <w:spacing w:line="240" w:lineRule="auto"/>
              <w:jc w:val="center"/>
              <w:rPr>
                <w:rFonts w:ascii="宋体" w:hAnsi="宋体"/>
                <w:sz w:val="18"/>
                <w:szCs w:val="18"/>
              </w:rPr>
            </w:pPr>
            <w:r>
              <w:rPr>
                <w:rFonts w:ascii="宋体" w:hAnsi="宋体"/>
                <w:sz w:val="18"/>
                <w:szCs w:val="18"/>
              </w:rPr>
              <w:t>残留延度（5℃，5</w:t>
            </w:r>
            <w:r>
              <w:rPr>
                <w:rFonts w:hint="eastAsia" w:ascii="宋体" w:hAnsi="宋体"/>
                <w:sz w:val="18"/>
                <w:szCs w:val="18"/>
              </w:rPr>
              <w:t xml:space="preserve"> </w:t>
            </w:r>
            <w:r>
              <w:rPr>
                <w:rFonts w:ascii="宋体" w:hAnsi="宋体"/>
                <w:sz w:val="18"/>
                <w:szCs w:val="18"/>
              </w:rPr>
              <w:t>cm/min）</w:t>
            </w:r>
            <w:r>
              <w:rPr>
                <w:rFonts w:hint="eastAsia" w:ascii="宋体" w:hAnsi="宋体"/>
                <w:sz w:val="18"/>
                <w:szCs w:val="18"/>
              </w:rPr>
              <w:t>/（</w:t>
            </w:r>
            <w:r>
              <w:rPr>
                <w:rFonts w:ascii="宋体" w:hAnsi="宋体"/>
                <w:sz w:val="18"/>
                <w:szCs w:val="18"/>
              </w:rPr>
              <w:t>cm</w:t>
            </w:r>
            <w:r>
              <w:rPr>
                <w:rFonts w:hint="eastAsia" w:ascii="宋体" w:hAnsi="宋体"/>
                <w:sz w:val="18"/>
                <w:szCs w:val="18"/>
              </w:rPr>
              <w:t>）</w:t>
            </w:r>
          </w:p>
        </w:tc>
        <w:tc>
          <w:tcPr>
            <w:tcW w:w="985" w:type="pct"/>
            <w:vAlign w:val="center"/>
          </w:tcPr>
          <w:p w14:paraId="17F06F44">
            <w:pPr>
              <w:snapToGrid w:val="0"/>
              <w:spacing w:line="240" w:lineRule="auto"/>
              <w:jc w:val="center"/>
              <w:rPr>
                <w:rFonts w:ascii="宋体" w:hAnsi="宋体"/>
                <w:sz w:val="18"/>
                <w:szCs w:val="18"/>
              </w:rPr>
            </w:pPr>
            <w:r>
              <w:rPr>
                <w:rFonts w:ascii="宋体" w:hAnsi="宋体"/>
                <w:sz w:val="18"/>
                <w:szCs w:val="18"/>
              </w:rPr>
              <w:t>≥15</w:t>
            </w:r>
          </w:p>
        </w:tc>
        <w:tc>
          <w:tcPr>
            <w:tcW w:w="1816" w:type="pct"/>
            <w:vMerge w:val="continue"/>
            <w:vAlign w:val="center"/>
          </w:tcPr>
          <w:p w14:paraId="7DE93CA5">
            <w:pPr>
              <w:snapToGrid w:val="0"/>
              <w:spacing w:line="240" w:lineRule="auto"/>
              <w:jc w:val="center"/>
              <w:rPr>
                <w:rFonts w:ascii="宋体" w:hAnsi="宋体"/>
                <w:sz w:val="18"/>
                <w:szCs w:val="18"/>
              </w:rPr>
            </w:pPr>
          </w:p>
        </w:tc>
      </w:tr>
      <w:tr w14:paraId="78C9A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9" w:type="pct"/>
            <w:gridSpan w:val="2"/>
            <w:tcBorders>
              <w:bottom w:val="single" w:color="auto" w:sz="4" w:space="0"/>
            </w:tcBorders>
            <w:vAlign w:val="center"/>
          </w:tcPr>
          <w:p w14:paraId="63140815">
            <w:pPr>
              <w:snapToGrid w:val="0"/>
              <w:spacing w:line="240" w:lineRule="auto"/>
              <w:jc w:val="center"/>
              <w:rPr>
                <w:rFonts w:ascii="宋体" w:hAnsi="宋体"/>
                <w:sz w:val="18"/>
                <w:szCs w:val="18"/>
              </w:rPr>
            </w:pPr>
            <w:r>
              <w:rPr>
                <w:rFonts w:hint="eastAsia" w:ascii="宋体" w:hAnsi="宋体"/>
                <w:color w:val="000000"/>
                <w:sz w:val="18"/>
                <w:szCs w:val="18"/>
              </w:rPr>
              <w:t>PG分级</w:t>
            </w:r>
          </w:p>
        </w:tc>
        <w:tc>
          <w:tcPr>
            <w:tcW w:w="985" w:type="pct"/>
            <w:tcBorders>
              <w:bottom w:val="single" w:color="auto" w:sz="4" w:space="0"/>
            </w:tcBorders>
            <w:vAlign w:val="center"/>
          </w:tcPr>
          <w:p w14:paraId="1286FE40">
            <w:pPr>
              <w:snapToGrid w:val="0"/>
              <w:spacing w:line="240" w:lineRule="auto"/>
              <w:jc w:val="center"/>
              <w:rPr>
                <w:rFonts w:ascii="宋体" w:hAnsi="宋体"/>
                <w:sz w:val="18"/>
                <w:szCs w:val="18"/>
              </w:rPr>
            </w:pPr>
            <w:r>
              <w:rPr>
                <w:rFonts w:hint="eastAsia" w:ascii="宋体" w:hAnsi="宋体"/>
                <w:color w:val="000000"/>
                <w:sz w:val="18"/>
                <w:szCs w:val="18"/>
              </w:rPr>
              <w:t>82-28</w:t>
            </w:r>
          </w:p>
        </w:tc>
        <w:tc>
          <w:tcPr>
            <w:tcW w:w="1816" w:type="pct"/>
            <w:tcBorders>
              <w:bottom w:val="single" w:color="auto" w:sz="4" w:space="0"/>
            </w:tcBorders>
            <w:vAlign w:val="center"/>
          </w:tcPr>
          <w:p w14:paraId="5FD490F3">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0611、T 0625、T 0627、T 0628、T 0629、T 0630</w:t>
            </w:r>
          </w:p>
        </w:tc>
      </w:tr>
    </w:tbl>
    <w:p w14:paraId="6262943C">
      <w:pPr>
        <w:pStyle w:val="113"/>
        <w:spacing w:before="156" w:after="156"/>
      </w:pPr>
      <w:r>
        <w:rPr>
          <w:rFonts w:hint="eastAsia"/>
        </w:rPr>
        <w:t>粘结</w:t>
      </w:r>
      <w:r>
        <w:t>层材料</w:t>
      </w:r>
      <w:bookmarkEnd w:id="169"/>
      <w:bookmarkEnd w:id="170"/>
      <w:bookmarkEnd w:id="171"/>
      <w:bookmarkEnd w:id="172"/>
      <w:bookmarkEnd w:id="173"/>
      <w:bookmarkEnd w:id="174"/>
    </w:p>
    <w:p w14:paraId="7ADD9C9B">
      <w:pPr>
        <w:pStyle w:val="250"/>
        <w:numPr>
          <w:ilvl w:val="0"/>
          <w:numId w:val="0"/>
        </w:numPr>
        <w:spacing w:before="0" w:beforeLines="0" w:after="0" w:afterLines="0"/>
        <w:ind w:firstLine="420" w:firstLineChars="200"/>
        <w:rPr>
          <w:rFonts w:ascii="宋体" w:hAnsi="宋体" w:eastAsia="宋体"/>
          <w:szCs w:val="20"/>
        </w:rPr>
      </w:pPr>
      <w:r>
        <w:rPr>
          <w:rFonts w:ascii="宋体" w:hAnsi="宋体" w:eastAsia="宋体"/>
          <w:szCs w:val="20"/>
        </w:rPr>
        <w:t>超薄罩面粘结层材料</w:t>
      </w:r>
      <w:r>
        <w:rPr>
          <w:rFonts w:hint="eastAsia" w:ascii="宋体" w:hAnsi="宋体" w:eastAsia="宋体"/>
          <w:szCs w:val="20"/>
        </w:rPr>
        <w:t>宜优先</w:t>
      </w:r>
      <w:r>
        <w:rPr>
          <w:rFonts w:ascii="宋体" w:hAnsi="宋体" w:eastAsia="宋体"/>
          <w:szCs w:val="20"/>
        </w:rPr>
        <w:t>采用高黏韧性改性沥青</w:t>
      </w:r>
      <w:r>
        <w:rPr>
          <w:rFonts w:hint="eastAsia" w:ascii="宋体" w:hAnsi="宋体" w:eastAsia="宋体"/>
          <w:szCs w:val="20"/>
        </w:rPr>
        <w:t>或</w:t>
      </w:r>
      <w:r>
        <w:rPr>
          <w:rFonts w:ascii="宋体" w:hAnsi="宋体" w:eastAsia="宋体"/>
          <w:szCs w:val="20"/>
        </w:rPr>
        <w:t>高</w:t>
      </w:r>
      <w:r>
        <w:rPr>
          <w:rFonts w:hint="eastAsia" w:ascii="宋体" w:hAnsi="宋体" w:eastAsia="宋体"/>
          <w:szCs w:val="20"/>
        </w:rPr>
        <w:t>黏</w:t>
      </w:r>
      <w:r>
        <w:rPr>
          <w:rFonts w:ascii="宋体" w:hAnsi="宋体" w:eastAsia="宋体"/>
          <w:szCs w:val="20"/>
        </w:rPr>
        <w:t>改性乳化沥青。当采用高黏韧性改性沥青时，</w:t>
      </w:r>
      <w:r>
        <w:rPr>
          <w:rFonts w:hint="eastAsia" w:ascii="宋体" w:hAnsi="宋体" w:eastAsia="宋体"/>
          <w:szCs w:val="20"/>
        </w:rPr>
        <w:t>其6</w:t>
      </w:r>
      <w:r>
        <w:rPr>
          <w:rFonts w:ascii="宋体" w:hAnsi="宋体" w:eastAsia="宋体"/>
          <w:szCs w:val="20"/>
        </w:rPr>
        <w:t>0</w:t>
      </w:r>
      <w:r>
        <w:rPr>
          <w:rFonts w:hint="eastAsia" w:ascii="宋体" w:hAnsi="宋体" w:eastAsia="宋体"/>
          <w:szCs w:val="20"/>
        </w:rPr>
        <w:t>℃动力黏度应不小于5</w:t>
      </w:r>
      <w:r>
        <w:rPr>
          <w:rFonts w:ascii="宋体" w:hAnsi="宋体" w:eastAsia="宋体"/>
          <w:szCs w:val="20"/>
        </w:rPr>
        <w:t>0000</w:t>
      </w:r>
      <w:r>
        <w:rPr>
          <w:rFonts w:hint="eastAsia" w:ascii="宋体" w:hAnsi="宋体" w:eastAsia="宋体"/>
          <w:szCs w:val="20"/>
        </w:rPr>
        <w:t xml:space="preserve"> </w:t>
      </w:r>
      <w:r>
        <w:rPr>
          <w:rFonts w:ascii="宋体" w:hAnsi="宋体" w:eastAsia="宋体"/>
          <w:szCs w:val="20"/>
        </w:rPr>
        <w:t>Pa·s</w:t>
      </w:r>
      <w:r>
        <w:rPr>
          <w:rFonts w:hint="eastAsia" w:ascii="宋体" w:hAnsi="宋体" w:eastAsia="宋体"/>
          <w:szCs w:val="20"/>
        </w:rPr>
        <w:t>，</w:t>
      </w:r>
      <w:r>
        <w:rPr>
          <w:rFonts w:ascii="宋体" w:hAnsi="宋体" w:eastAsia="宋体"/>
          <w:szCs w:val="20"/>
        </w:rPr>
        <w:t>其</w:t>
      </w:r>
      <w:r>
        <w:rPr>
          <w:rFonts w:hint="eastAsia" w:ascii="宋体" w:hAnsi="宋体" w:eastAsia="宋体"/>
          <w:szCs w:val="20"/>
        </w:rPr>
        <w:t>他技术要求</w:t>
      </w:r>
      <w:r>
        <w:rPr>
          <w:rFonts w:ascii="宋体" w:hAnsi="宋体" w:eastAsia="宋体"/>
          <w:szCs w:val="20"/>
        </w:rPr>
        <w:t>应符合表</w:t>
      </w:r>
      <w:r>
        <w:rPr>
          <w:rFonts w:hint="eastAsia" w:ascii="宋体" w:hAnsi="宋体" w:eastAsia="宋体"/>
          <w:szCs w:val="20"/>
        </w:rPr>
        <w:t>1</w:t>
      </w:r>
      <w:r>
        <w:rPr>
          <w:rFonts w:ascii="宋体" w:hAnsi="宋体" w:eastAsia="宋体"/>
          <w:szCs w:val="20"/>
        </w:rPr>
        <w:t>的</w:t>
      </w:r>
      <w:r>
        <w:rPr>
          <w:rFonts w:hint="eastAsia" w:ascii="宋体" w:hAnsi="宋体" w:eastAsia="宋体"/>
          <w:szCs w:val="20"/>
        </w:rPr>
        <w:t>规定</w:t>
      </w:r>
      <w:r>
        <w:rPr>
          <w:rFonts w:ascii="宋体" w:hAnsi="宋体" w:eastAsia="宋体"/>
          <w:szCs w:val="20"/>
        </w:rPr>
        <w:t>。当采用高黏改性乳化沥青时，其</w:t>
      </w:r>
      <w:r>
        <w:rPr>
          <w:rFonts w:hint="eastAsia" w:ascii="宋体" w:hAnsi="宋体" w:eastAsia="宋体"/>
          <w:szCs w:val="20"/>
        </w:rPr>
        <w:t>技术要求</w:t>
      </w:r>
      <w:r>
        <w:rPr>
          <w:rFonts w:ascii="宋体" w:hAnsi="宋体" w:eastAsia="宋体"/>
          <w:szCs w:val="20"/>
        </w:rPr>
        <w:t>应符合表</w:t>
      </w:r>
      <w:r>
        <w:rPr>
          <w:rFonts w:hint="eastAsia" w:ascii="宋体" w:hAnsi="宋体" w:eastAsia="宋体"/>
          <w:szCs w:val="20"/>
        </w:rPr>
        <w:t>2</w:t>
      </w:r>
      <w:r>
        <w:rPr>
          <w:rFonts w:ascii="宋体" w:hAnsi="宋体" w:eastAsia="宋体"/>
          <w:szCs w:val="20"/>
        </w:rPr>
        <w:t>的</w:t>
      </w:r>
      <w:r>
        <w:rPr>
          <w:rFonts w:hint="eastAsia" w:ascii="宋体" w:hAnsi="宋体" w:eastAsia="宋体"/>
          <w:szCs w:val="20"/>
        </w:rPr>
        <w:t>规定</w:t>
      </w:r>
      <w:r>
        <w:rPr>
          <w:rFonts w:ascii="宋体" w:hAnsi="宋体" w:eastAsia="宋体"/>
          <w:szCs w:val="20"/>
        </w:rPr>
        <w:t>。</w:t>
      </w:r>
    </w:p>
    <w:p w14:paraId="22CDEC35">
      <w:pPr>
        <w:pStyle w:val="120"/>
        <w:spacing w:before="156" w:after="156"/>
      </w:pPr>
      <w:r>
        <w:t>粘结层用高</w:t>
      </w:r>
      <w:r>
        <w:rPr>
          <w:rFonts w:hint="eastAsia"/>
        </w:rPr>
        <w:t>黏</w:t>
      </w:r>
      <w:r>
        <w:t>改性乳化沥青技术要求与试验方法</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0"/>
        <w:gridCol w:w="2940"/>
        <w:gridCol w:w="1742"/>
        <w:gridCol w:w="3478"/>
      </w:tblGrid>
      <w:tr w14:paraId="37187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73" w:type="pct"/>
            <w:gridSpan w:val="2"/>
            <w:vAlign w:val="center"/>
          </w:tcPr>
          <w:p w14:paraId="50EB7782">
            <w:pPr>
              <w:snapToGrid w:val="0"/>
              <w:spacing w:line="240" w:lineRule="auto"/>
              <w:jc w:val="center"/>
              <w:rPr>
                <w:rFonts w:ascii="宋体" w:hAnsi="宋体"/>
                <w:sz w:val="18"/>
                <w:szCs w:val="18"/>
              </w:rPr>
            </w:pPr>
            <w:bookmarkStart w:id="175" w:name="_Hlk185149174"/>
            <w:r>
              <w:rPr>
                <w:rFonts w:ascii="宋体" w:hAnsi="宋体"/>
                <w:sz w:val="18"/>
                <w:szCs w:val="18"/>
              </w:rPr>
              <w:t>试验项目</w:t>
            </w:r>
          </w:p>
        </w:tc>
        <w:tc>
          <w:tcPr>
            <w:tcW w:w="910" w:type="pct"/>
            <w:vAlign w:val="center"/>
          </w:tcPr>
          <w:p w14:paraId="7454904A">
            <w:pPr>
              <w:snapToGrid w:val="0"/>
              <w:spacing w:line="240" w:lineRule="auto"/>
              <w:jc w:val="center"/>
              <w:rPr>
                <w:rFonts w:ascii="宋体" w:hAnsi="宋体"/>
                <w:sz w:val="18"/>
                <w:szCs w:val="18"/>
              </w:rPr>
            </w:pPr>
            <w:r>
              <w:rPr>
                <w:rFonts w:ascii="宋体" w:hAnsi="宋体"/>
                <w:sz w:val="18"/>
                <w:szCs w:val="18"/>
              </w:rPr>
              <w:t>技术要求</w:t>
            </w:r>
          </w:p>
        </w:tc>
        <w:tc>
          <w:tcPr>
            <w:tcW w:w="1817" w:type="pct"/>
            <w:vAlign w:val="center"/>
          </w:tcPr>
          <w:p w14:paraId="6B304D75">
            <w:pPr>
              <w:snapToGrid w:val="0"/>
              <w:spacing w:line="240" w:lineRule="auto"/>
              <w:jc w:val="center"/>
              <w:rPr>
                <w:rFonts w:ascii="宋体" w:hAnsi="宋体"/>
                <w:sz w:val="18"/>
                <w:szCs w:val="18"/>
              </w:rPr>
            </w:pPr>
            <w:r>
              <w:rPr>
                <w:rFonts w:ascii="宋体" w:hAnsi="宋体"/>
                <w:sz w:val="18"/>
                <w:szCs w:val="18"/>
              </w:rPr>
              <w:t>试验方法</w:t>
            </w:r>
          </w:p>
        </w:tc>
      </w:tr>
      <w:tr w14:paraId="1D23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73" w:type="pct"/>
            <w:gridSpan w:val="2"/>
            <w:vAlign w:val="center"/>
          </w:tcPr>
          <w:p w14:paraId="404C247D">
            <w:pPr>
              <w:snapToGrid w:val="0"/>
              <w:spacing w:line="240" w:lineRule="auto"/>
              <w:jc w:val="center"/>
              <w:rPr>
                <w:rFonts w:ascii="宋体" w:hAnsi="宋体"/>
                <w:sz w:val="18"/>
                <w:szCs w:val="18"/>
              </w:rPr>
            </w:pPr>
            <w:r>
              <w:rPr>
                <w:rFonts w:ascii="宋体" w:hAnsi="宋体"/>
                <w:sz w:val="18"/>
                <w:szCs w:val="18"/>
              </w:rPr>
              <w:t>赛波特</w:t>
            </w:r>
            <w:r>
              <w:rPr>
                <w:rFonts w:hint="eastAsia" w:ascii="宋体" w:hAnsi="宋体"/>
                <w:sz w:val="18"/>
                <w:szCs w:val="18"/>
              </w:rPr>
              <w:t>黏</w:t>
            </w:r>
            <w:r>
              <w:rPr>
                <w:rFonts w:ascii="宋体" w:hAnsi="宋体"/>
                <w:sz w:val="18"/>
                <w:szCs w:val="18"/>
              </w:rPr>
              <w:t>度（25℃）</w:t>
            </w:r>
            <w:r>
              <w:rPr>
                <w:rFonts w:hint="eastAsia" w:ascii="宋体" w:hAnsi="宋体"/>
                <w:sz w:val="18"/>
                <w:szCs w:val="18"/>
              </w:rPr>
              <w:t>/（s）</w:t>
            </w:r>
          </w:p>
        </w:tc>
        <w:tc>
          <w:tcPr>
            <w:tcW w:w="910" w:type="pct"/>
            <w:vAlign w:val="center"/>
          </w:tcPr>
          <w:p w14:paraId="44209372">
            <w:pPr>
              <w:snapToGrid w:val="0"/>
              <w:spacing w:line="240" w:lineRule="auto"/>
              <w:jc w:val="center"/>
              <w:rPr>
                <w:rFonts w:ascii="宋体" w:hAnsi="宋体"/>
                <w:sz w:val="18"/>
                <w:szCs w:val="18"/>
              </w:rPr>
            </w:pPr>
            <w:r>
              <w:rPr>
                <w:rFonts w:ascii="宋体" w:hAnsi="宋体"/>
                <w:sz w:val="18"/>
                <w:szCs w:val="18"/>
              </w:rPr>
              <w:t>20～100</w:t>
            </w:r>
          </w:p>
        </w:tc>
        <w:tc>
          <w:tcPr>
            <w:tcW w:w="1817" w:type="pct"/>
            <w:vAlign w:val="center"/>
          </w:tcPr>
          <w:p w14:paraId="30C5538F">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0623</w:t>
            </w:r>
          </w:p>
        </w:tc>
      </w:tr>
      <w:tr w14:paraId="3B09F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7" w:type="pct"/>
            <w:vMerge w:val="restart"/>
            <w:vAlign w:val="center"/>
          </w:tcPr>
          <w:p w14:paraId="6F0B5ED8">
            <w:pPr>
              <w:snapToGrid w:val="0"/>
              <w:spacing w:line="240" w:lineRule="auto"/>
              <w:jc w:val="center"/>
              <w:rPr>
                <w:rFonts w:ascii="宋体" w:hAnsi="宋体"/>
                <w:sz w:val="18"/>
                <w:szCs w:val="18"/>
              </w:rPr>
            </w:pPr>
            <w:r>
              <w:rPr>
                <w:rFonts w:ascii="宋体" w:hAnsi="宋体"/>
                <w:sz w:val="18"/>
                <w:szCs w:val="18"/>
              </w:rPr>
              <w:t>蒸发</w:t>
            </w:r>
          </w:p>
          <w:p w14:paraId="22426B92">
            <w:pPr>
              <w:snapToGrid w:val="0"/>
              <w:spacing w:line="240" w:lineRule="auto"/>
              <w:jc w:val="center"/>
              <w:rPr>
                <w:rFonts w:ascii="宋体" w:hAnsi="宋体"/>
                <w:sz w:val="18"/>
                <w:szCs w:val="18"/>
              </w:rPr>
            </w:pPr>
            <w:r>
              <w:rPr>
                <w:rFonts w:ascii="宋体" w:hAnsi="宋体"/>
                <w:sz w:val="18"/>
                <w:szCs w:val="18"/>
              </w:rPr>
              <w:t>残留物</w:t>
            </w:r>
          </w:p>
        </w:tc>
        <w:tc>
          <w:tcPr>
            <w:tcW w:w="1536" w:type="pct"/>
            <w:vAlign w:val="center"/>
          </w:tcPr>
          <w:p w14:paraId="6925977A">
            <w:pPr>
              <w:snapToGrid w:val="0"/>
              <w:spacing w:line="240" w:lineRule="auto"/>
              <w:jc w:val="center"/>
              <w:rPr>
                <w:rFonts w:ascii="宋体" w:hAnsi="宋体"/>
                <w:sz w:val="18"/>
                <w:szCs w:val="18"/>
              </w:rPr>
            </w:pPr>
            <w:r>
              <w:rPr>
                <w:rFonts w:ascii="宋体" w:hAnsi="宋体"/>
                <w:sz w:val="18"/>
                <w:szCs w:val="18"/>
              </w:rPr>
              <w:t>含量</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10" w:type="pct"/>
            <w:vAlign w:val="center"/>
          </w:tcPr>
          <w:p w14:paraId="6231228C">
            <w:pPr>
              <w:snapToGrid w:val="0"/>
              <w:spacing w:line="240" w:lineRule="auto"/>
              <w:jc w:val="center"/>
              <w:rPr>
                <w:rFonts w:ascii="宋体" w:hAnsi="宋体"/>
                <w:sz w:val="18"/>
                <w:szCs w:val="18"/>
              </w:rPr>
            </w:pPr>
            <w:r>
              <w:rPr>
                <w:rFonts w:ascii="宋体" w:hAnsi="宋体"/>
                <w:sz w:val="18"/>
                <w:szCs w:val="18"/>
              </w:rPr>
              <w:t>≥65.0</w:t>
            </w:r>
          </w:p>
        </w:tc>
        <w:tc>
          <w:tcPr>
            <w:tcW w:w="1817" w:type="pct"/>
            <w:vAlign w:val="center"/>
          </w:tcPr>
          <w:p w14:paraId="12073F09">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0651</w:t>
            </w:r>
          </w:p>
        </w:tc>
      </w:tr>
      <w:tr w14:paraId="7B258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7" w:type="pct"/>
            <w:vMerge w:val="continue"/>
            <w:vAlign w:val="center"/>
          </w:tcPr>
          <w:p w14:paraId="09758A96">
            <w:pPr>
              <w:snapToGrid w:val="0"/>
              <w:spacing w:line="240" w:lineRule="auto"/>
              <w:jc w:val="center"/>
              <w:rPr>
                <w:rFonts w:ascii="宋体" w:hAnsi="宋体"/>
                <w:sz w:val="18"/>
                <w:szCs w:val="18"/>
              </w:rPr>
            </w:pPr>
          </w:p>
        </w:tc>
        <w:tc>
          <w:tcPr>
            <w:tcW w:w="1536" w:type="pct"/>
            <w:vAlign w:val="center"/>
          </w:tcPr>
          <w:p w14:paraId="7D52494C">
            <w:pPr>
              <w:snapToGrid w:val="0"/>
              <w:spacing w:line="240" w:lineRule="auto"/>
              <w:jc w:val="center"/>
              <w:rPr>
                <w:rFonts w:ascii="宋体" w:hAnsi="宋体"/>
                <w:sz w:val="18"/>
                <w:szCs w:val="18"/>
              </w:rPr>
            </w:pPr>
            <w:r>
              <w:rPr>
                <w:rFonts w:ascii="宋体" w:hAnsi="宋体"/>
                <w:sz w:val="18"/>
                <w:szCs w:val="18"/>
              </w:rPr>
              <w:t>针入度（25℃，100</w:t>
            </w:r>
            <w:r>
              <w:rPr>
                <w:rFonts w:hint="eastAsia" w:ascii="宋体" w:hAnsi="宋体"/>
                <w:sz w:val="18"/>
                <w:szCs w:val="18"/>
              </w:rPr>
              <w:t xml:space="preserve"> </w:t>
            </w:r>
            <w:r>
              <w:rPr>
                <w:rFonts w:ascii="宋体" w:hAnsi="宋体"/>
                <w:sz w:val="18"/>
                <w:szCs w:val="18"/>
              </w:rPr>
              <w:t>g，5</w:t>
            </w:r>
            <w:r>
              <w:rPr>
                <w:rFonts w:hint="eastAsia" w:ascii="宋体" w:hAnsi="宋体"/>
                <w:sz w:val="18"/>
                <w:szCs w:val="18"/>
              </w:rPr>
              <w:t xml:space="preserve"> </w:t>
            </w:r>
            <w:r>
              <w:rPr>
                <w:rFonts w:ascii="宋体" w:hAnsi="宋体"/>
                <w:sz w:val="18"/>
                <w:szCs w:val="18"/>
              </w:rPr>
              <w:t>s）</w:t>
            </w:r>
            <w:r>
              <w:rPr>
                <w:rFonts w:hint="eastAsia" w:ascii="宋体" w:hAnsi="宋体"/>
                <w:sz w:val="18"/>
                <w:szCs w:val="18"/>
              </w:rPr>
              <w:t>/（</w:t>
            </w:r>
            <w:r>
              <w:rPr>
                <w:rFonts w:ascii="宋体" w:hAnsi="宋体"/>
                <w:sz w:val="18"/>
                <w:szCs w:val="18"/>
              </w:rPr>
              <w:t>0.1</w:t>
            </w:r>
            <w:r>
              <w:rPr>
                <w:rFonts w:hint="eastAsia" w:ascii="宋体" w:hAnsi="宋体"/>
                <w:sz w:val="18"/>
                <w:szCs w:val="18"/>
              </w:rPr>
              <w:t xml:space="preserve"> </w:t>
            </w:r>
            <w:r>
              <w:rPr>
                <w:rFonts w:ascii="宋体" w:hAnsi="宋体"/>
                <w:sz w:val="18"/>
                <w:szCs w:val="18"/>
              </w:rPr>
              <w:t>mm</w:t>
            </w:r>
            <w:r>
              <w:rPr>
                <w:rFonts w:hint="eastAsia" w:ascii="宋体" w:hAnsi="宋体"/>
                <w:sz w:val="18"/>
                <w:szCs w:val="18"/>
              </w:rPr>
              <w:t>）</w:t>
            </w:r>
          </w:p>
        </w:tc>
        <w:tc>
          <w:tcPr>
            <w:tcW w:w="910" w:type="pct"/>
            <w:vAlign w:val="center"/>
          </w:tcPr>
          <w:p w14:paraId="58D2DA46">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40</w:t>
            </w:r>
          </w:p>
        </w:tc>
        <w:tc>
          <w:tcPr>
            <w:tcW w:w="1817" w:type="pct"/>
            <w:vAlign w:val="center"/>
          </w:tcPr>
          <w:p w14:paraId="2C0C9E66">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0604</w:t>
            </w:r>
          </w:p>
        </w:tc>
      </w:tr>
      <w:tr w14:paraId="0D9B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7" w:type="pct"/>
            <w:vMerge w:val="continue"/>
            <w:vAlign w:val="center"/>
          </w:tcPr>
          <w:p w14:paraId="6A0FEA37">
            <w:pPr>
              <w:snapToGrid w:val="0"/>
              <w:spacing w:line="240" w:lineRule="auto"/>
              <w:jc w:val="center"/>
              <w:rPr>
                <w:rFonts w:ascii="宋体" w:hAnsi="宋体"/>
                <w:sz w:val="18"/>
                <w:szCs w:val="18"/>
              </w:rPr>
            </w:pPr>
          </w:p>
        </w:tc>
        <w:tc>
          <w:tcPr>
            <w:tcW w:w="1536" w:type="pct"/>
            <w:vAlign w:val="center"/>
          </w:tcPr>
          <w:p w14:paraId="7F992B33">
            <w:pPr>
              <w:snapToGrid w:val="0"/>
              <w:spacing w:line="240" w:lineRule="auto"/>
              <w:jc w:val="center"/>
              <w:rPr>
                <w:rFonts w:ascii="宋体" w:hAnsi="宋体"/>
                <w:sz w:val="18"/>
                <w:szCs w:val="18"/>
              </w:rPr>
            </w:pPr>
            <w:r>
              <w:rPr>
                <w:rFonts w:ascii="宋体" w:hAnsi="宋体"/>
                <w:sz w:val="18"/>
                <w:szCs w:val="18"/>
              </w:rPr>
              <w:t>延度（5℃，5</w:t>
            </w:r>
            <w:r>
              <w:rPr>
                <w:rFonts w:hint="eastAsia" w:ascii="宋体" w:hAnsi="宋体"/>
                <w:sz w:val="18"/>
                <w:szCs w:val="18"/>
              </w:rPr>
              <w:t xml:space="preserve"> </w:t>
            </w:r>
            <w:r>
              <w:rPr>
                <w:rFonts w:ascii="宋体" w:hAnsi="宋体"/>
                <w:sz w:val="18"/>
                <w:szCs w:val="18"/>
              </w:rPr>
              <w:t>cm/min）</w:t>
            </w:r>
            <w:r>
              <w:rPr>
                <w:rFonts w:hint="eastAsia" w:ascii="宋体" w:hAnsi="宋体"/>
                <w:sz w:val="18"/>
                <w:szCs w:val="18"/>
              </w:rPr>
              <w:t>/（</w:t>
            </w:r>
            <w:r>
              <w:rPr>
                <w:rFonts w:ascii="宋体" w:hAnsi="宋体"/>
                <w:sz w:val="18"/>
                <w:szCs w:val="18"/>
              </w:rPr>
              <w:t>cm</w:t>
            </w:r>
            <w:r>
              <w:rPr>
                <w:rFonts w:hint="eastAsia" w:ascii="宋体" w:hAnsi="宋体"/>
                <w:sz w:val="18"/>
                <w:szCs w:val="18"/>
              </w:rPr>
              <w:t>）</w:t>
            </w:r>
          </w:p>
        </w:tc>
        <w:tc>
          <w:tcPr>
            <w:tcW w:w="910" w:type="pct"/>
            <w:vAlign w:val="center"/>
          </w:tcPr>
          <w:p w14:paraId="321B40F5">
            <w:pPr>
              <w:snapToGrid w:val="0"/>
              <w:spacing w:line="240" w:lineRule="auto"/>
              <w:jc w:val="center"/>
              <w:rPr>
                <w:rFonts w:ascii="宋体" w:hAnsi="宋体"/>
                <w:sz w:val="18"/>
                <w:szCs w:val="18"/>
              </w:rPr>
            </w:pPr>
            <w:r>
              <w:rPr>
                <w:rFonts w:ascii="宋体" w:hAnsi="宋体"/>
                <w:sz w:val="18"/>
                <w:szCs w:val="18"/>
              </w:rPr>
              <w:t>≥20</w:t>
            </w:r>
          </w:p>
        </w:tc>
        <w:tc>
          <w:tcPr>
            <w:tcW w:w="1817" w:type="pct"/>
            <w:vAlign w:val="center"/>
          </w:tcPr>
          <w:p w14:paraId="5A97D38A">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0605</w:t>
            </w:r>
          </w:p>
        </w:tc>
      </w:tr>
      <w:tr w14:paraId="4D7BD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7" w:type="pct"/>
            <w:vMerge w:val="continue"/>
            <w:vAlign w:val="center"/>
          </w:tcPr>
          <w:p w14:paraId="1745E289">
            <w:pPr>
              <w:snapToGrid w:val="0"/>
              <w:spacing w:line="240" w:lineRule="auto"/>
              <w:jc w:val="center"/>
              <w:rPr>
                <w:rFonts w:ascii="宋体" w:hAnsi="宋体"/>
                <w:sz w:val="18"/>
                <w:szCs w:val="18"/>
              </w:rPr>
            </w:pPr>
          </w:p>
        </w:tc>
        <w:tc>
          <w:tcPr>
            <w:tcW w:w="1536" w:type="pct"/>
            <w:vAlign w:val="center"/>
          </w:tcPr>
          <w:p w14:paraId="6F10571E">
            <w:pPr>
              <w:snapToGrid w:val="0"/>
              <w:spacing w:line="240" w:lineRule="auto"/>
              <w:jc w:val="center"/>
              <w:rPr>
                <w:rFonts w:ascii="宋体" w:hAnsi="宋体"/>
                <w:sz w:val="18"/>
                <w:szCs w:val="18"/>
              </w:rPr>
            </w:pPr>
            <w:r>
              <w:rPr>
                <w:rFonts w:ascii="宋体" w:hAnsi="宋体"/>
                <w:sz w:val="18"/>
                <w:szCs w:val="18"/>
              </w:rPr>
              <w:t>软化点</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10" w:type="pct"/>
            <w:vAlign w:val="center"/>
          </w:tcPr>
          <w:p w14:paraId="60EB0053">
            <w:pPr>
              <w:snapToGrid w:val="0"/>
              <w:spacing w:line="240" w:lineRule="auto"/>
              <w:jc w:val="center"/>
              <w:rPr>
                <w:rFonts w:ascii="宋体" w:hAnsi="宋体"/>
                <w:sz w:val="18"/>
                <w:szCs w:val="18"/>
              </w:rPr>
            </w:pPr>
            <w:r>
              <w:rPr>
                <w:rFonts w:ascii="宋体" w:hAnsi="宋体"/>
                <w:sz w:val="18"/>
                <w:szCs w:val="18"/>
              </w:rPr>
              <w:t>≥75</w:t>
            </w:r>
          </w:p>
        </w:tc>
        <w:tc>
          <w:tcPr>
            <w:tcW w:w="1817" w:type="pct"/>
            <w:vAlign w:val="center"/>
          </w:tcPr>
          <w:p w14:paraId="327855AE">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0606</w:t>
            </w:r>
          </w:p>
        </w:tc>
      </w:tr>
      <w:tr w14:paraId="2F4BB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7" w:type="pct"/>
            <w:vMerge w:val="continue"/>
            <w:vAlign w:val="center"/>
          </w:tcPr>
          <w:p w14:paraId="2251B240">
            <w:pPr>
              <w:snapToGrid w:val="0"/>
              <w:spacing w:line="240" w:lineRule="auto"/>
              <w:jc w:val="center"/>
              <w:rPr>
                <w:rFonts w:ascii="宋体" w:hAnsi="宋体"/>
                <w:sz w:val="18"/>
                <w:szCs w:val="18"/>
              </w:rPr>
            </w:pPr>
          </w:p>
        </w:tc>
        <w:tc>
          <w:tcPr>
            <w:tcW w:w="1536" w:type="pct"/>
            <w:vAlign w:val="center"/>
          </w:tcPr>
          <w:p w14:paraId="332FFD32">
            <w:pPr>
              <w:snapToGrid w:val="0"/>
              <w:spacing w:line="240" w:lineRule="auto"/>
              <w:jc w:val="center"/>
              <w:rPr>
                <w:rFonts w:ascii="宋体" w:hAnsi="宋体"/>
                <w:sz w:val="18"/>
                <w:szCs w:val="18"/>
              </w:rPr>
            </w:pPr>
            <w:r>
              <w:rPr>
                <w:rFonts w:ascii="宋体" w:hAnsi="宋体"/>
                <w:sz w:val="18"/>
                <w:szCs w:val="18"/>
              </w:rPr>
              <w:t>动力</w:t>
            </w:r>
            <w:r>
              <w:rPr>
                <w:rFonts w:hint="eastAsia" w:ascii="宋体" w:hAnsi="宋体"/>
                <w:sz w:val="18"/>
                <w:szCs w:val="18"/>
              </w:rPr>
              <w:t>黏</w:t>
            </w:r>
            <w:r>
              <w:rPr>
                <w:rFonts w:ascii="宋体" w:hAnsi="宋体"/>
                <w:sz w:val="18"/>
                <w:szCs w:val="18"/>
              </w:rPr>
              <w:t>度（60℃）</w:t>
            </w:r>
            <w:r>
              <w:rPr>
                <w:rFonts w:hint="eastAsia" w:ascii="宋体" w:hAnsi="宋体"/>
                <w:sz w:val="18"/>
                <w:szCs w:val="18"/>
              </w:rPr>
              <w:t>/（</w:t>
            </w:r>
            <w:r>
              <w:rPr>
                <w:rFonts w:ascii="宋体" w:hAnsi="宋体"/>
                <w:sz w:val="18"/>
                <w:szCs w:val="18"/>
              </w:rPr>
              <w:t>Pa·s</w:t>
            </w:r>
            <w:r>
              <w:rPr>
                <w:rFonts w:hint="eastAsia" w:ascii="宋体" w:hAnsi="宋体"/>
                <w:sz w:val="18"/>
                <w:szCs w:val="18"/>
              </w:rPr>
              <w:t>）</w:t>
            </w:r>
          </w:p>
        </w:tc>
        <w:tc>
          <w:tcPr>
            <w:tcW w:w="910" w:type="pct"/>
            <w:vAlign w:val="center"/>
          </w:tcPr>
          <w:p w14:paraId="531126A1">
            <w:pPr>
              <w:snapToGrid w:val="0"/>
              <w:spacing w:line="240" w:lineRule="auto"/>
              <w:jc w:val="center"/>
              <w:rPr>
                <w:rFonts w:ascii="宋体" w:hAnsi="宋体"/>
                <w:sz w:val="18"/>
                <w:szCs w:val="18"/>
              </w:rPr>
            </w:pPr>
            <w:r>
              <w:rPr>
                <w:rFonts w:ascii="宋体" w:hAnsi="宋体"/>
                <w:sz w:val="18"/>
                <w:szCs w:val="18"/>
              </w:rPr>
              <w:t>≥10000</w:t>
            </w:r>
          </w:p>
        </w:tc>
        <w:tc>
          <w:tcPr>
            <w:tcW w:w="1817" w:type="pct"/>
            <w:vAlign w:val="center"/>
          </w:tcPr>
          <w:p w14:paraId="5403C28F">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0620</w:t>
            </w:r>
          </w:p>
        </w:tc>
      </w:tr>
      <w:tr w14:paraId="7161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37" w:type="pct"/>
            <w:vMerge w:val="continue"/>
            <w:vAlign w:val="center"/>
          </w:tcPr>
          <w:p w14:paraId="07310140">
            <w:pPr>
              <w:snapToGrid w:val="0"/>
              <w:spacing w:line="240" w:lineRule="auto"/>
              <w:jc w:val="center"/>
              <w:rPr>
                <w:rFonts w:ascii="宋体" w:hAnsi="宋体"/>
                <w:sz w:val="18"/>
                <w:szCs w:val="18"/>
              </w:rPr>
            </w:pPr>
          </w:p>
        </w:tc>
        <w:tc>
          <w:tcPr>
            <w:tcW w:w="1536" w:type="pct"/>
            <w:vAlign w:val="center"/>
          </w:tcPr>
          <w:p w14:paraId="7E09A5A0">
            <w:pPr>
              <w:snapToGrid w:val="0"/>
              <w:spacing w:line="240" w:lineRule="auto"/>
              <w:jc w:val="center"/>
              <w:rPr>
                <w:rFonts w:ascii="宋体" w:hAnsi="宋体"/>
                <w:sz w:val="18"/>
                <w:szCs w:val="18"/>
              </w:rPr>
            </w:pPr>
            <w:r>
              <w:rPr>
                <w:rFonts w:ascii="宋体" w:hAnsi="宋体"/>
                <w:sz w:val="18"/>
                <w:szCs w:val="18"/>
              </w:rPr>
              <w:t>弹性恢复（25℃）</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10" w:type="pct"/>
            <w:vAlign w:val="center"/>
          </w:tcPr>
          <w:p w14:paraId="5323DFDD">
            <w:pPr>
              <w:snapToGrid w:val="0"/>
              <w:spacing w:line="240" w:lineRule="auto"/>
              <w:jc w:val="center"/>
              <w:rPr>
                <w:rFonts w:ascii="宋体" w:hAnsi="宋体"/>
                <w:sz w:val="18"/>
                <w:szCs w:val="18"/>
              </w:rPr>
            </w:pPr>
            <w:r>
              <w:rPr>
                <w:rFonts w:ascii="宋体" w:hAnsi="宋体"/>
                <w:sz w:val="18"/>
                <w:szCs w:val="18"/>
              </w:rPr>
              <w:t>≥90</w:t>
            </w:r>
          </w:p>
        </w:tc>
        <w:tc>
          <w:tcPr>
            <w:tcW w:w="1817" w:type="pct"/>
            <w:vAlign w:val="center"/>
          </w:tcPr>
          <w:p w14:paraId="224FFB20">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0662</w:t>
            </w:r>
          </w:p>
        </w:tc>
      </w:tr>
      <w:bookmarkEnd w:id="175"/>
    </w:tbl>
    <w:p w14:paraId="4FE75900">
      <w:pPr>
        <w:pStyle w:val="113"/>
        <w:spacing w:before="156" w:after="156"/>
      </w:pPr>
      <w:bookmarkStart w:id="176" w:name="_Toc184997584"/>
      <w:bookmarkStart w:id="177" w:name="_Toc183898293"/>
      <w:bookmarkStart w:id="178" w:name="_Toc183897608"/>
      <w:bookmarkStart w:id="179" w:name="_Toc176167847"/>
      <w:bookmarkStart w:id="180" w:name="_Toc183897513"/>
      <w:bookmarkStart w:id="181" w:name="_Toc183898446"/>
      <w:r>
        <w:t>粗集料</w:t>
      </w:r>
      <w:bookmarkEnd w:id="176"/>
      <w:bookmarkEnd w:id="177"/>
      <w:bookmarkEnd w:id="178"/>
      <w:bookmarkEnd w:id="179"/>
      <w:bookmarkEnd w:id="180"/>
      <w:bookmarkEnd w:id="181"/>
    </w:p>
    <w:p w14:paraId="794E234C">
      <w:pPr>
        <w:pStyle w:val="73"/>
        <w:spacing w:before="156" w:after="156"/>
        <w:rPr>
          <w:rFonts w:ascii="宋体" w:hAnsi="宋体" w:eastAsia="宋体"/>
        </w:rPr>
      </w:pPr>
      <w:bookmarkStart w:id="182" w:name="_Toc183897514"/>
      <w:r>
        <w:rPr>
          <w:rFonts w:ascii="宋体" w:hAnsi="宋体" w:eastAsia="宋体"/>
        </w:rPr>
        <w:t>超薄罩面</w:t>
      </w:r>
      <w:r>
        <w:rPr>
          <w:rFonts w:hint="eastAsia" w:ascii="宋体" w:hAnsi="宋体" w:eastAsia="宋体"/>
        </w:rPr>
        <w:t>沥青混合料</w:t>
      </w:r>
      <w:r>
        <w:rPr>
          <w:rFonts w:ascii="宋体" w:hAnsi="宋体" w:eastAsia="宋体"/>
        </w:rPr>
        <w:t>用粗集料应</w:t>
      </w:r>
      <w:r>
        <w:rPr>
          <w:rFonts w:hint="eastAsia" w:ascii="宋体" w:hAnsi="宋体" w:eastAsia="宋体"/>
        </w:rPr>
        <w:t>采用</w:t>
      </w:r>
      <w:r>
        <w:rPr>
          <w:rFonts w:ascii="宋体" w:hAnsi="宋体" w:eastAsia="宋体"/>
        </w:rPr>
        <w:t>质地坚硬，表面粗糙，形状接近立方体的破碎石料，</w:t>
      </w:r>
      <w:r>
        <w:rPr>
          <w:rFonts w:hint="eastAsia" w:ascii="宋体" w:hAnsi="宋体" w:eastAsia="宋体"/>
        </w:rPr>
        <w:t>宜优先选择</w:t>
      </w:r>
      <w:r>
        <w:rPr>
          <w:rFonts w:ascii="宋体" w:hAnsi="宋体" w:eastAsia="宋体"/>
        </w:rPr>
        <w:t>玄武岩。</w:t>
      </w:r>
      <w:bookmarkEnd w:id="182"/>
    </w:p>
    <w:p w14:paraId="45AD13B2">
      <w:pPr>
        <w:pStyle w:val="73"/>
        <w:spacing w:before="156" w:after="156"/>
        <w:rPr>
          <w:rFonts w:ascii="宋体" w:hAnsi="宋体" w:eastAsia="宋体"/>
        </w:rPr>
      </w:pPr>
      <w:bookmarkStart w:id="183" w:name="_Toc183897515"/>
      <w:r>
        <w:rPr>
          <w:rFonts w:ascii="宋体" w:hAnsi="宋体" w:eastAsia="宋体"/>
        </w:rPr>
        <w:t>集料粒径规格以方孔筛为准，不同料源、品种、规格的集料不</w:t>
      </w:r>
      <w:r>
        <w:rPr>
          <w:rFonts w:hint="eastAsia" w:ascii="宋体" w:hAnsi="宋体" w:eastAsia="宋体"/>
        </w:rPr>
        <w:t>应</w:t>
      </w:r>
      <w:r>
        <w:rPr>
          <w:rFonts w:ascii="宋体" w:hAnsi="宋体" w:eastAsia="宋体"/>
        </w:rPr>
        <w:t>混杂堆放。</w:t>
      </w:r>
      <w:bookmarkEnd w:id="183"/>
    </w:p>
    <w:p w14:paraId="7C98DE92">
      <w:pPr>
        <w:pStyle w:val="73"/>
        <w:widowControl/>
        <w:spacing w:before="156" w:after="156"/>
        <w:jc w:val="left"/>
      </w:pPr>
      <w:bookmarkStart w:id="184" w:name="_Toc183897516"/>
      <w:r>
        <w:rPr>
          <w:rFonts w:ascii="宋体" w:hAnsi="宋体" w:eastAsia="宋体"/>
        </w:rPr>
        <w:t>超薄罩面用粗集料的</w:t>
      </w:r>
      <w:r>
        <w:rPr>
          <w:rFonts w:hint="eastAsia" w:ascii="宋体" w:hAnsi="宋体" w:eastAsia="宋体"/>
        </w:rPr>
        <w:t>性能除应</w:t>
      </w:r>
      <w:r>
        <w:rPr>
          <w:rFonts w:ascii="宋体" w:hAnsi="宋体" w:eastAsia="宋体"/>
        </w:rPr>
        <w:t>符合表</w:t>
      </w:r>
      <w:r>
        <w:rPr>
          <w:rFonts w:hint="eastAsia" w:ascii="宋体" w:hAnsi="宋体" w:eastAsia="宋体"/>
        </w:rPr>
        <w:t>3</w:t>
      </w:r>
      <w:r>
        <w:rPr>
          <w:rFonts w:ascii="宋体" w:hAnsi="宋体" w:eastAsia="宋体"/>
        </w:rPr>
        <w:t>中的规定外，其他</w:t>
      </w:r>
      <w:r>
        <w:rPr>
          <w:rFonts w:hint="eastAsia" w:ascii="宋体" w:hAnsi="宋体" w:eastAsia="宋体"/>
        </w:rPr>
        <w:t>技术要求</w:t>
      </w:r>
      <w:r>
        <w:rPr>
          <w:rFonts w:ascii="宋体" w:hAnsi="宋体" w:eastAsia="宋体"/>
        </w:rPr>
        <w:t>应符合</w:t>
      </w:r>
      <w:r>
        <w:rPr>
          <w:rFonts w:hint="eastAsia" w:ascii="宋体" w:hAnsi="宋体" w:eastAsia="宋体"/>
        </w:rPr>
        <w:t>JTG F40的规定</w:t>
      </w:r>
      <w:r>
        <w:rPr>
          <w:rFonts w:ascii="宋体" w:hAnsi="宋体" w:eastAsia="宋体"/>
        </w:rPr>
        <w:t>。</w:t>
      </w:r>
      <w:bookmarkEnd w:id="184"/>
    </w:p>
    <w:p w14:paraId="0F9F7E67">
      <w:pPr>
        <w:pStyle w:val="120"/>
        <w:spacing w:before="156" w:after="156"/>
      </w:pPr>
      <w:r>
        <w:t>粗集料技术要求与试验方法</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5"/>
        <w:gridCol w:w="1887"/>
        <w:gridCol w:w="3478"/>
      </w:tblGrid>
      <w:tr w14:paraId="5CE4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74C0F687">
            <w:pPr>
              <w:snapToGrid w:val="0"/>
              <w:spacing w:line="240" w:lineRule="auto"/>
              <w:jc w:val="center"/>
              <w:rPr>
                <w:rFonts w:ascii="宋体" w:hAnsi="宋体"/>
                <w:sz w:val="18"/>
                <w:szCs w:val="18"/>
              </w:rPr>
            </w:pPr>
            <w:bookmarkStart w:id="185" w:name="_Hlk185149482"/>
            <w:r>
              <w:rPr>
                <w:rFonts w:ascii="宋体" w:hAnsi="宋体"/>
                <w:sz w:val="18"/>
                <w:szCs w:val="18"/>
              </w:rPr>
              <w:t>试验项目</w:t>
            </w:r>
          </w:p>
        </w:tc>
        <w:tc>
          <w:tcPr>
            <w:tcW w:w="986" w:type="pct"/>
            <w:vAlign w:val="center"/>
          </w:tcPr>
          <w:p w14:paraId="29BE9354">
            <w:pPr>
              <w:snapToGrid w:val="0"/>
              <w:spacing w:line="240" w:lineRule="auto"/>
              <w:jc w:val="center"/>
              <w:rPr>
                <w:rFonts w:ascii="宋体" w:hAnsi="宋体"/>
                <w:sz w:val="18"/>
                <w:szCs w:val="18"/>
              </w:rPr>
            </w:pPr>
            <w:r>
              <w:rPr>
                <w:rFonts w:ascii="宋体" w:hAnsi="宋体"/>
                <w:sz w:val="18"/>
                <w:szCs w:val="18"/>
              </w:rPr>
              <w:t>技术要求</w:t>
            </w:r>
          </w:p>
        </w:tc>
        <w:tc>
          <w:tcPr>
            <w:tcW w:w="1817" w:type="pct"/>
            <w:vAlign w:val="center"/>
          </w:tcPr>
          <w:p w14:paraId="0F26C1C7">
            <w:pPr>
              <w:snapToGrid w:val="0"/>
              <w:spacing w:line="240" w:lineRule="auto"/>
              <w:jc w:val="center"/>
              <w:rPr>
                <w:rFonts w:ascii="宋体" w:hAnsi="宋体"/>
                <w:sz w:val="18"/>
                <w:szCs w:val="18"/>
              </w:rPr>
            </w:pPr>
            <w:r>
              <w:rPr>
                <w:rFonts w:ascii="宋体" w:hAnsi="宋体"/>
                <w:sz w:val="18"/>
                <w:szCs w:val="18"/>
              </w:rPr>
              <w:t>试验方法</w:t>
            </w:r>
          </w:p>
        </w:tc>
      </w:tr>
      <w:tr w14:paraId="7246E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4CFFB1D0">
            <w:pPr>
              <w:snapToGrid w:val="0"/>
              <w:spacing w:line="240" w:lineRule="auto"/>
              <w:jc w:val="center"/>
              <w:rPr>
                <w:rFonts w:ascii="宋体" w:hAnsi="宋体"/>
                <w:sz w:val="18"/>
                <w:szCs w:val="18"/>
              </w:rPr>
            </w:pPr>
            <w:r>
              <w:rPr>
                <w:rFonts w:ascii="宋体" w:hAnsi="宋体"/>
                <w:sz w:val="18"/>
                <w:szCs w:val="18"/>
              </w:rPr>
              <w:t>石料压碎值</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6" w:type="pct"/>
            <w:vAlign w:val="center"/>
          </w:tcPr>
          <w:p w14:paraId="08554DFC">
            <w:pPr>
              <w:snapToGrid w:val="0"/>
              <w:spacing w:line="240" w:lineRule="auto"/>
              <w:jc w:val="center"/>
              <w:rPr>
                <w:rFonts w:ascii="宋体" w:hAnsi="宋体"/>
                <w:sz w:val="18"/>
                <w:szCs w:val="18"/>
              </w:rPr>
            </w:pPr>
            <w:r>
              <w:rPr>
                <w:rFonts w:ascii="宋体" w:hAnsi="宋体"/>
                <w:sz w:val="18"/>
                <w:szCs w:val="18"/>
              </w:rPr>
              <w:t>≤18</w:t>
            </w:r>
          </w:p>
        </w:tc>
        <w:tc>
          <w:tcPr>
            <w:tcW w:w="1817" w:type="pct"/>
            <w:vAlign w:val="center"/>
          </w:tcPr>
          <w:p w14:paraId="4B9D72B8">
            <w:pPr>
              <w:snapToGrid w:val="0"/>
              <w:spacing w:line="240" w:lineRule="auto"/>
              <w:jc w:val="center"/>
              <w:rPr>
                <w:rFonts w:ascii="宋体" w:hAnsi="宋体"/>
                <w:sz w:val="18"/>
                <w:szCs w:val="18"/>
              </w:rPr>
            </w:pPr>
            <w:r>
              <w:rPr>
                <w:rFonts w:ascii="宋体" w:hAnsi="宋体"/>
                <w:sz w:val="18"/>
                <w:szCs w:val="18"/>
              </w:rPr>
              <w:t>JTG 3432</w:t>
            </w:r>
            <w:r>
              <w:rPr>
                <w:rFonts w:hint="eastAsia" w:ascii="宋体" w:hAnsi="宋体"/>
                <w:sz w:val="18"/>
                <w:szCs w:val="18"/>
              </w:rPr>
              <w:t>—2024中的</w:t>
            </w:r>
            <w:r>
              <w:rPr>
                <w:rFonts w:ascii="宋体" w:hAnsi="宋体"/>
                <w:sz w:val="18"/>
                <w:szCs w:val="18"/>
              </w:rPr>
              <w:t>T 0316</w:t>
            </w:r>
          </w:p>
        </w:tc>
      </w:tr>
      <w:tr w14:paraId="431CE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2486D3A7">
            <w:pPr>
              <w:snapToGrid w:val="0"/>
              <w:spacing w:line="240" w:lineRule="auto"/>
              <w:jc w:val="center"/>
              <w:rPr>
                <w:rFonts w:ascii="宋体" w:hAnsi="宋体"/>
                <w:sz w:val="18"/>
                <w:szCs w:val="18"/>
              </w:rPr>
            </w:pPr>
            <w:r>
              <w:rPr>
                <w:rFonts w:ascii="宋体" w:hAnsi="宋体"/>
                <w:sz w:val="18"/>
                <w:szCs w:val="18"/>
              </w:rPr>
              <w:t>高温压碎值</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6" w:type="pct"/>
            <w:vAlign w:val="center"/>
          </w:tcPr>
          <w:p w14:paraId="63726317">
            <w:pPr>
              <w:snapToGrid w:val="0"/>
              <w:spacing w:line="240" w:lineRule="auto"/>
              <w:jc w:val="center"/>
              <w:rPr>
                <w:rFonts w:ascii="宋体" w:hAnsi="宋体"/>
                <w:sz w:val="18"/>
                <w:szCs w:val="18"/>
              </w:rPr>
            </w:pPr>
            <w:r>
              <w:rPr>
                <w:rFonts w:ascii="宋体" w:hAnsi="宋体"/>
                <w:sz w:val="18"/>
                <w:szCs w:val="18"/>
              </w:rPr>
              <w:t>≤23</w:t>
            </w:r>
          </w:p>
        </w:tc>
        <w:tc>
          <w:tcPr>
            <w:tcW w:w="1817" w:type="pct"/>
            <w:vAlign w:val="center"/>
          </w:tcPr>
          <w:p w14:paraId="365056C0">
            <w:pPr>
              <w:snapToGrid w:val="0"/>
              <w:spacing w:line="240" w:lineRule="auto"/>
              <w:jc w:val="center"/>
              <w:rPr>
                <w:rFonts w:ascii="宋体" w:hAnsi="宋体"/>
                <w:sz w:val="18"/>
                <w:szCs w:val="18"/>
              </w:rPr>
            </w:pPr>
            <w:r>
              <w:rPr>
                <w:rFonts w:ascii="宋体" w:hAnsi="宋体"/>
                <w:sz w:val="18"/>
                <w:szCs w:val="18"/>
              </w:rPr>
              <w:t>附录A</w:t>
            </w:r>
          </w:p>
        </w:tc>
      </w:tr>
      <w:tr w14:paraId="45411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468D2E98">
            <w:pPr>
              <w:snapToGrid w:val="0"/>
              <w:spacing w:line="240" w:lineRule="auto"/>
              <w:jc w:val="center"/>
              <w:rPr>
                <w:rFonts w:ascii="宋体" w:hAnsi="宋体"/>
                <w:sz w:val="18"/>
                <w:szCs w:val="18"/>
              </w:rPr>
            </w:pPr>
            <w:r>
              <w:rPr>
                <w:rFonts w:ascii="宋体" w:hAnsi="宋体"/>
                <w:sz w:val="18"/>
                <w:szCs w:val="18"/>
              </w:rPr>
              <w:t>洛杉矶磨耗损失</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6" w:type="pct"/>
            <w:vAlign w:val="center"/>
          </w:tcPr>
          <w:p w14:paraId="31416080">
            <w:pPr>
              <w:snapToGrid w:val="0"/>
              <w:spacing w:line="240" w:lineRule="auto"/>
              <w:jc w:val="center"/>
              <w:rPr>
                <w:rFonts w:ascii="宋体" w:hAnsi="宋体"/>
                <w:sz w:val="18"/>
                <w:szCs w:val="18"/>
              </w:rPr>
            </w:pPr>
            <w:r>
              <w:rPr>
                <w:rFonts w:ascii="宋体" w:hAnsi="宋体"/>
                <w:sz w:val="18"/>
                <w:szCs w:val="18"/>
              </w:rPr>
              <w:t>≤20</w:t>
            </w:r>
          </w:p>
        </w:tc>
        <w:tc>
          <w:tcPr>
            <w:tcW w:w="1817" w:type="pct"/>
            <w:vAlign w:val="center"/>
          </w:tcPr>
          <w:p w14:paraId="341FDBD4">
            <w:pPr>
              <w:snapToGrid w:val="0"/>
              <w:spacing w:line="240" w:lineRule="auto"/>
              <w:jc w:val="center"/>
              <w:rPr>
                <w:rFonts w:ascii="宋体" w:hAnsi="宋体"/>
                <w:sz w:val="18"/>
                <w:szCs w:val="18"/>
              </w:rPr>
            </w:pPr>
            <w:r>
              <w:rPr>
                <w:rFonts w:ascii="宋体" w:hAnsi="宋体"/>
                <w:sz w:val="18"/>
                <w:szCs w:val="18"/>
              </w:rPr>
              <w:t>JTG 3432</w:t>
            </w:r>
            <w:r>
              <w:rPr>
                <w:rFonts w:hint="eastAsia" w:ascii="宋体" w:hAnsi="宋体"/>
                <w:sz w:val="18"/>
                <w:szCs w:val="18"/>
              </w:rPr>
              <w:t>—2024中的</w:t>
            </w:r>
            <w:r>
              <w:rPr>
                <w:rFonts w:ascii="宋体" w:hAnsi="宋体"/>
                <w:sz w:val="18"/>
                <w:szCs w:val="18"/>
              </w:rPr>
              <w:t>T 0317</w:t>
            </w:r>
          </w:p>
        </w:tc>
      </w:tr>
      <w:tr w14:paraId="54F52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6D642070">
            <w:pPr>
              <w:snapToGrid w:val="0"/>
              <w:spacing w:line="240" w:lineRule="auto"/>
              <w:jc w:val="center"/>
              <w:rPr>
                <w:rFonts w:ascii="宋体" w:hAnsi="宋体"/>
                <w:sz w:val="18"/>
                <w:szCs w:val="18"/>
              </w:rPr>
            </w:pPr>
            <w:r>
              <w:rPr>
                <w:rFonts w:ascii="宋体" w:hAnsi="宋体"/>
                <w:sz w:val="18"/>
                <w:szCs w:val="18"/>
              </w:rPr>
              <w:t>磨光值</w:t>
            </w:r>
          </w:p>
        </w:tc>
        <w:tc>
          <w:tcPr>
            <w:tcW w:w="986" w:type="pct"/>
            <w:vAlign w:val="center"/>
          </w:tcPr>
          <w:p w14:paraId="353D6B70">
            <w:pPr>
              <w:snapToGrid w:val="0"/>
              <w:spacing w:line="240" w:lineRule="auto"/>
              <w:jc w:val="center"/>
              <w:rPr>
                <w:rFonts w:ascii="宋体" w:hAnsi="宋体"/>
                <w:sz w:val="18"/>
                <w:szCs w:val="18"/>
              </w:rPr>
            </w:pPr>
            <w:r>
              <w:rPr>
                <w:rFonts w:ascii="宋体" w:hAnsi="宋体"/>
                <w:sz w:val="18"/>
                <w:szCs w:val="18"/>
              </w:rPr>
              <w:t>≥40</w:t>
            </w:r>
          </w:p>
        </w:tc>
        <w:tc>
          <w:tcPr>
            <w:tcW w:w="1817" w:type="pct"/>
            <w:vAlign w:val="center"/>
          </w:tcPr>
          <w:p w14:paraId="104F802E">
            <w:pPr>
              <w:snapToGrid w:val="0"/>
              <w:spacing w:line="240" w:lineRule="auto"/>
              <w:jc w:val="center"/>
              <w:rPr>
                <w:rFonts w:ascii="宋体" w:hAnsi="宋体"/>
                <w:sz w:val="18"/>
                <w:szCs w:val="18"/>
              </w:rPr>
            </w:pPr>
            <w:r>
              <w:rPr>
                <w:rFonts w:ascii="宋体" w:hAnsi="宋体"/>
                <w:sz w:val="18"/>
                <w:szCs w:val="18"/>
              </w:rPr>
              <w:t>JTG 3432</w:t>
            </w:r>
            <w:r>
              <w:rPr>
                <w:rFonts w:hint="eastAsia" w:ascii="宋体" w:hAnsi="宋体"/>
                <w:sz w:val="18"/>
                <w:szCs w:val="18"/>
              </w:rPr>
              <w:t>—2024中的</w:t>
            </w:r>
            <w:r>
              <w:rPr>
                <w:rFonts w:ascii="宋体" w:hAnsi="宋体"/>
                <w:sz w:val="18"/>
                <w:szCs w:val="18"/>
              </w:rPr>
              <w:t>T 0321</w:t>
            </w:r>
          </w:p>
        </w:tc>
      </w:tr>
      <w:tr w14:paraId="13A74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5CA778D6">
            <w:pPr>
              <w:snapToGrid w:val="0"/>
              <w:spacing w:line="240" w:lineRule="auto"/>
              <w:jc w:val="center"/>
              <w:rPr>
                <w:rFonts w:ascii="宋体" w:hAnsi="宋体"/>
                <w:sz w:val="18"/>
                <w:szCs w:val="18"/>
              </w:rPr>
            </w:pPr>
            <w:r>
              <w:rPr>
                <w:rFonts w:hint="eastAsia" w:ascii="宋体" w:hAnsi="宋体"/>
                <w:sz w:val="18"/>
                <w:szCs w:val="18"/>
              </w:rPr>
              <w:t>粘附性/（级）</w:t>
            </w:r>
          </w:p>
        </w:tc>
        <w:tc>
          <w:tcPr>
            <w:tcW w:w="986" w:type="pct"/>
            <w:vAlign w:val="center"/>
          </w:tcPr>
          <w:p w14:paraId="1FD39797">
            <w:pPr>
              <w:snapToGrid w:val="0"/>
              <w:spacing w:line="240" w:lineRule="auto"/>
              <w:jc w:val="center"/>
              <w:rPr>
                <w:rFonts w:ascii="宋体" w:hAnsi="宋体"/>
                <w:sz w:val="18"/>
                <w:szCs w:val="18"/>
              </w:rPr>
            </w:pPr>
            <w:r>
              <w:rPr>
                <w:rFonts w:hint="eastAsia" w:ascii="宋体" w:hAnsi="宋体"/>
                <w:sz w:val="18"/>
                <w:szCs w:val="18"/>
              </w:rPr>
              <w:t>5</w:t>
            </w:r>
          </w:p>
        </w:tc>
        <w:tc>
          <w:tcPr>
            <w:tcW w:w="1817" w:type="pct"/>
            <w:vAlign w:val="center"/>
          </w:tcPr>
          <w:p w14:paraId="136B3A46">
            <w:pPr>
              <w:snapToGrid w:val="0"/>
              <w:spacing w:line="240" w:lineRule="auto"/>
              <w:jc w:val="center"/>
              <w:rPr>
                <w:rFonts w:ascii="宋体" w:hAnsi="宋体"/>
                <w:sz w:val="18"/>
                <w:szCs w:val="18"/>
              </w:rPr>
            </w:pPr>
            <w:r>
              <w:rPr>
                <w:rFonts w:ascii="宋体" w:hAnsi="宋体"/>
                <w:sz w:val="18"/>
                <w:szCs w:val="18"/>
              </w:rPr>
              <w:t>JTG E20</w:t>
            </w:r>
            <w:r>
              <w:rPr>
                <w:rFonts w:hint="eastAsia" w:ascii="宋体" w:hAnsi="宋体"/>
                <w:sz w:val="18"/>
                <w:szCs w:val="18"/>
              </w:rPr>
              <w:t>—2011中的</w:t>
            </w:r>
            <w:r>
              <w:rPr>
                <w:rFonts w:ascii="宋体" w:hAnsi="宋体"/>
                <w:sz w:val="18"/>
                <w:szCs w:val="18"/>
              </w:rPr>
              <w:t>T 0616</w:t>
            </w:r>
          </w:p>
        </w:tc>
      </w:tr>
      <w:bookmarkEnd w:id="185"/>
    </w:tbl>
    <w:p w14:paraId="1481DBA7">
      <w:pPr>
        <w:pStyle w:val="113"/>
        <w:spacing w:before="156" w:after="156"/>
      </w:pPr>
      <w:bookmarkStart w:id="186" w:name="_Toc183897517"/>
      <w:bookmarkStart w:id="187" w:name="_Toc184997585"/>
      <w:bookmarkStart w:id="188" w:name="_Toc183897609"/>
      <w:bookmarkStart w:id="189" w:name="_Toc176167848"/>
      <w:bookmarkStart w:id="190" w:name="_Toc183898447"/>
      <w:bookmarkStart w:id="191" w:name="_Toc183898294"/>
      <w:r>
        <w:t>细集料</w:t>
      </w:r>
      <w:bookmarkEnd w:id="186"/>
      <w:bookmarkEnd w:id="187"/>
      <w:bookmarkEnd w:id="188"/>
      <w:bookmarkEnd w:id="189"/>
      <w:bookmarkEnd w:id="190"/>
      <w:bookmarkEnd w:id="191"/>
    </w:p>
    <w:p w14:paraId="54D44DDD">
      <w:pPr>
        <w:pStyle w:val="64"/>
        <w:ind w:firstLine="420"/>
      </w:pPr>
      <w:r>
        <w:t>超薄罩面用细集料</w:t>
      </w:r>
      <w:r>
        <w:rPr>
          <w:rFonts w:hint="eastAsia"/>
        </w:rPr>
        <w:t>应</w:t>
      </w:r>
      <w:r>
        <w:t>采用机制砂，</w:t>
      </w:r>
      <w:r>
        <w:rPr>
          <w:rFonts w:hint="eastAsia"/>
        </w:rPr>
        <w:t>宜优先</w:t>
      </w:r>
      <w:r>
        <w:t>选用优质玄武岩生产的机制砂</w:t>
      </w:r>
      <w:r>
        <w:rPr>
          <w:rFonts w:hint="eastAsia"/>
        </w:rPr>
        <w:t>，其质量除应</w:t>
      </w:r>
      <w:r>
        <w:t>符合表</w:t>
      </w:r>
      <w:r>
        <w:rPr>
          <w:rFonts w:hint="eastAsia"/>
        </w:rPr>
        <w:t>6</w:t>
      </w:r>
      <w:r>
        <w:t>中的规定外，</w:t>
      </w:r>
      <w:r>
        <w:rPr>
          <w:rFonts w:hAnsi="宋体"/>
        </w:rPr>
        <w:t>其他技术要求应符合</w:t>
      </w:r>
      <w:r>
        <w:rPr>
          <w:rFonts w:hint="eastAsia" w:hAnsi="宋体"/>
        </w:rPr>
        <w:t>JTG F40的规定</w:t>
      </w:r>
      <w:r>
        <w:t>。</w:t>
      </w:r>
    </w:p>
    <w:p w14:paraId="6FBBF9F7">
      <w:pPr>
        <w:pStyle w:val="120"/>
        <w:spacing w:before="156" w:after="156"/>
      </w:pPr>
      <w:r>
        <w:t>细集料技术要求与试验方法</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5"/>
        <w:gridCol w:w="1887"/>
        <w:gridCol w:w="3478"/>
      </w:tblGrid>
      <w:tr w14:paraId="38EB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19715B0A">
            <w:pPr>
              <w:snapToGrid w:val="0"/>
              <w:spacing w:line="240" w:lineRule="auto"/>
              <w:jc w:val="center"/>
              <w:rPr>
                <w:rFonts w:ascii="宋体" w:hAnsi="宋体"/>
                <w:sz w:val="18"/>
                <w:szCs w:val="18"/>
              </w:rPr>
            </w:pPr>
            <w:r>
              <w:rPr>
                <w:rFonts w:ascii="宋体" w:hAnsi="宋体"/>
                <w:sz w:val="18"/>
                <w:szCs w:val="18"/>
              </w:rPr>
              <w:t>试验项目</w:t>
            </w:r>
          </w:p>
        </w:tc>
        <w:tc>
          <w:tcPr>
            <w:tcW w:w="986" w:type="pct"/>
            <w:vAlign w:val="center"/>
          </w:tcPr>
          <w:p w14:paraId="2CBE4E19">
            <w:pPr>
              <w:snapToGrid w:val="0"/>
              <w:spacing w:line="240" w:lineRule="auto"/>
              <w:jc w:val="center"/>
              <w:rPr>
                <w:rFonts w:ascii="宋体" w:hAnsi="宋体"/>
                <w:sz w:val="18"/>
                <w:szCs w:val="18"/>
              </w:rPr>
            </w:pPr>
            <w:r>
              <w:rPr>
                <w:rFonts w:ascii="宋体" w:hAnsi="宋体"/>
                <w:sz w:val="18"/>
                <w:szCs w:val="18"/>
              </w:rPr>
              <w:t>技术要求</w:t>
            </w:r>
          </w:p>
        </w:tc>
        <w:tc>
          <w:tcPr>
            <w:tcW w:w="1817" w:type="pct"/>
            <w:vAlign w:val="center"/>
          </w:tcPr>
          <w:p w14:paraId="1BC6E927">
            <w:pPr>
              <w:snapToGrid w:val="0"/>
              <w:spacing w:line="240" w:lineRule="auto"/>
              <w:jc w:val="center"/>
              <w:rPr>
                <w:rFonts w:ascii="宋体" w:hAnsi="宋体"/>
                <w:sz w:val="18"/>
                <w:szCs w:val="18"/>
              </w:rPr>
            </w:pPr>
            <w:r>
              <w:rPr>
                <w:rFonts w:ascii="宋体" w:hAnsi="宋体"/>
                <w:sz w:val="18"/>
                <w:szCs w:val="18"/>
              </w:rPr>
              <w:t>试验方法</w:t>
            </w:r>
          </w:p>
        </w:tc>
      </w:tr>
      <w:tr w14:paraId="35A25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36508697">
            <w:pPr>
              <w:snapToGrid w:val="0"/>
              <w:spacing w:line="240" w:lineRule="auto"/>
              <w:jc w:val="center"/>
              <w:rPr>
                <w:rFonts w:ascii="宋体" w:hAnsi="宋体"/>
                <w:sz w:val="18"/>
                <w:szCs w:val="18"/>
              </w:rPr>
            </w:pPr>
            <w:r>
              <w:rPr>
                <w:rFonts w:ascii="宋体" w:hAnsi="宋体"/>
                <w:sz w:val="18"/>
                <w:szCs w:val="18"/>
              </w:rPr>
              <w:t>砂当量</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986" w:type="pct"/>
            <w:vAlign w:val="center"/>
          </w:tcPr>
          <w:p w14:paraId="4A482699">
            <w:pPr>
              <w:snapToGrid w:val="0"/>
              <w:spacing w:line="240" w:lineRule="auto"/>
              <w:jc w:val="center"/>
              <w:rPr>
                <w:rFonts w:ascii="宋体" w:hAnsi="宋体"/>
                <w:sz w:val="18"/>
                <w:szCs w:val="18"/>
              </w:rPr>
            </w:pPr>
            <w:r>
              <w:rPr>
                <w:rFonts w:ascii="宋体" w:hAnsi="宋体"/>
                <w:sz w:val="18"/>
                <w:szCs w:val="18"/>
              </w:rPr>
              <w:t>≥65</w:t>
            </w:r>
          </w:p>
        </w:tc>
        <w:tc>
          <w:tcPr>
            <w:tcW w:w="1817" w:type="pct"/>
            <w:vAlign w:val="center"/>
          </w:tcPr>
          <w:p w14:paraId="4CFD89F5">
            <w:pPr>
              <w:snapToGrid w:val="0"/>
              <w:spacing w:line="240" w:lineRule="auto"/>
              <w:jc w:val="center"/>
              <w:rPr>
                <w:rFonts w:ascii="宋体" w:hAnsi="宋体"/>
                <w:sz w:val="18"/>
                <w:szCs w:val="18"/>
              </w:rPr>
            </w:pPr>
            <w:r>
              <w:rPr>
                <w:rFonts w:ascii="宋体" w:hAnsi="宋体"/>
                <w:sz w:val="18"/>
                <w:szCs w:val="18"/>
              </w:rPr>
              <w:t>JTG 3432</w:t>
            </w:r>
            <w:r>
              <w:rPr>
                <w:rFonts w:hint="eastAsia" w:ascii="宋体" w:hAnsi="宋体"/>
                <w:sz w:val="18"/>
                <w:szCs w:val="18"/>
              </w:rPr>
              <w:t>—2024中的</w:t>
            </w:r>
            <w:r>
              <w:rPr>
                <w:rFonts w:ascii="宋体" w:hAnsi="宋体"/>
                <w:sz w:val="18"/>
                <w:szCs w:val="18"/>
              </w:rPr>
              <w:t>T 0334</w:t>
            </w:r>
          </w:p>
        </w:tc>
      </w:tr>
      <w:tr w14:paraId="14249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97" w:type="pct"/>
            <w:vAlign w:val="center"/>
          </w:tcPr>
          <w:p w14:paraId="2FBE5167">
            <w:pPr>
              <w:snapToGrid w:val="0"/>
              <w:spacing w:line="240" w:lineRule="auto"/>
              <w:jc w:val="center"/>
              <w:rPr>
                <w:rFonts w:ascii="宋体" w:hAnsi="宋体"/>
                <w:sz w:val="18"/>
                <w:szCs w:val="18"/>
                <w:vertAlign w:val="superscript"/>
              </w:rPr>
            </w:pPr>
            <w:r>
              <w:rPr>
                <w:rFonts w:ascii="宋体" w:hAnsi="宋体"/>
                <w:sz w:val="18"/>
                <w:szCs w:val="18"/>
              </w:rPr>
              <w:t>亚甲蓝值</w:t>
            </w:r>
            <w:r>
              <w:rPr>
                <w:rFonts w:hint="eastAsia" w:ascii="宋体" w:hAnsi="宋体"/>
                <w:sz w:val="18"/>
                <w:szCs w:val="18"/>
              </w:rPr>
              <w:t>/（</w:t>
            </w:r>
            <w:r>
              <w:rPr>
                <w:rFonts w:ascii="宋体" w:hAnsi="宋体"/>
                <w:sz w:val="18"/>
                <w:szCs w:val="18"/>
              </w:rPr>
              <w:t>g/</w:t>
            </w:r>
            <w:r>
              <w:rPr>
                <w:rFonts w:hint="eastAsia" w:ascii="宋体" w:hAnsi="宋体"/>
                <w:sz w:val="18"/>
                <w:szCs w:val="18"/>
              </w:rPr>
              <w:t>k</w:t>
            </w:r>
            <w:r>
              <w:rPr>
                <w:rFonts w:ascii="宋体" w:hAnsi="宋体"/>
                <w:sz w:val="18"/>
                <w:szCs w:val="18"/>
              </w:rPr>
              <w:t>g</w:t>
            </w:r>
            <w:r>
              <w:rPr>
                <w:rFonts w:hint="eastAsia" w:ascii="宋体" w:hAnsi="宋体"/>
                <w:sz w:val="18"/>
                <w:szCs w:val="18"/>
              </w:rPr>
              <w:t>）</w:t>
            </w:r>
          </w:p>
        </w:tc>
        <w:tc>
          <w:tcPr>
            <w:tcW w:w="986" w:type="pct"/>
            <w:vAlign w:val="center"/>
          </w:tcPr>
          <w:p w14:paraId="334597B0">
            <w:pPr>
              <w:snapToGrid w:val="0"/>
              <w:spacing w:line="240" w:lineRule="auto"/>
              <w:jc w:val="center"/>
              <w:rPr>
                <w:rFonts w:ascii="宋体" w:hAnsi="宋体"/>
                <w:sz w:val="18"/>
                <w:szCs w:val="18"/>
              </w:rPr>
            </w:pPr>
            <w:r>
              <w:rPr>
                <w:rFonts w:ascii="宋体" w:hAnsi="宋体"/>
                <w:sz w:val="18"/>
                <w:szCs w:val="18"/>
              </w:rPr>
              <w:t>≤2.5</w:t>
            </w:r>
          </w:p>
        </w:tc>
        <w:tc>
          <w:tcPr>
            <w:tcW w:w="1817" w:type="pct"/>
            <w:vAlign w:val="center"/>
          </w:tcPr>
          <w:p w14:paraId="0FD9086B">
            <w:pPr>
              <w:snapToGrid w:val="0"/>
              <w:spacing w:line="240" w:lineRule="auto"/>
              <w:jc w:val="center"/>
              <w:rPr>
                <w:rFonts w:ascii="宋体" w:hAnsi="宋体"/>
                <w:sz w:val="18"/>
                <w:szCs w:val="18"/>
              </w:rPr>
            </w:pPr>
            <w:r>
              <w:rPr>
                <w:rFonts w:ascii="宋体" w:hAnsi="宋体"/>
                <w:sz w:val="18"/>
                <w:szCs w:val="18"/>
              </w:rPr>
              <w:t>JTG 3432</w:t>
            </w:r>
            <w:r>
              <w:rPr>
                <w:rFonts w:hint="eastAsia" w:ascii="宋体" w:hAnsi="宋体"/>
                <w:sz w:val="18"/>
                <w:szCs w:val="18"/>
              </w:rPr>
              <w:t>—2024中的</w:t>
            </w:r>
            <w:r>
              <w:rPr>
                <w:rFonts w:ascii="宋体" w:hAnsi="宋体"/>
                <w:sz w:val="18"/>
                <w:szCs w:val="18"/>
              </w:rPr>
              <w:t>T 0349</w:t>
            </w:r>
          </w:p>
        </w:tc>
      </w:tr>
    </w:tbl>
    <w:p w14:paraId="5BB38829">
      <w:pPr>
        <w:pStyle w:val="113"/>
        <w:spacing w:before="156" w:after="156"/>
      </w:pPr>
      <w:bookmarkStart w:id="192" w:name="_Toc176167849"/>
      <w:bookmarkStart w:id="193" w:name="_Toc183897518"/>
      <w:bookmarkStart w:id="194" w:name="_Toc183898295"/>
      <w:bookmarkStart w:id="195" w:name="_Toc184997586"/>
      <w:bookmarkStart w:id="196" w:name="_Toc183897610"/>
      <w:bookmarkStart w:id="197" w:name="_Toc183898448"/>
      <w:r>
        <w:t>填料</w:t>
      </w:r>
      <w:bookmarkEnd w:id="192"/>
      <w:bookmarkEnd w:id="193"/>
      <w:bookmarkEnd w:id="194"/>
      <w:bookmarkEnd w:id="195"/>
      <w:bookmarkEnd w:id="196"/>
      <w:bookmarkEnd w:id="197"/>
    </w:p>
    <w:p w14:paraId="117B6A09">
      <w:pPr>
        <w:pStyle w:val="64"/>
        <w:ind w:firstLine="420"/>
      </w:pPr>
      <w:r>
        <w:rPr>
          <w:rFonts w:hint="eastAsia"/>
        </w:rPr>
        <w:t>超薄罩面沥青混合料用填料宜优先采用石灰岩磨细得到的矿粉，矿粉制备过程中宜掺加一定比例的生石灰粉或消石灰粉作为抗剥落剂，也可在超薄罩面沥青混合料生产过程中添加一定比例的水泥等量替代矿粉，掺加量宜为沥青混合料总质量的1.0%</w:t>
      </w:r>
      <w:r>
        <w:rPr>
          <w:rFonts w:hint="eastAsia" w:ascii="Times New Roman"/>
        </w:rPr>
        <w:t>～</w:t>
      </w:r>
      <w:r>
        <w:rPr>
          <w:rFonts w:hint="eastAsia"/>
        </w:rPr>
        <w:t>2.0%。</w:t>
      </w:r>
    </w:p>
    <w:p w14:paraId="469F8647">
      <w:pPr>
        <w:pStyle w:val="113"/>
        <w:spacing w:before="156" w:after="156"/>
      </w:pPr>
      <w:bookmarkStart w:id="198" w:name="_Toc183897519"/>
      <w:bookmarkStart w:id="199" w:name="_Toc183898449"/>
      <w:bookmarkStart w:id="200" w:name="_Toc183898296"/>
      <w:bookmarkStart w:id="201" w:name="_Toc183897611"/>
      <w:bookmarkStart w:id="202" w:name="_Toc184997587"/>
      <w:r>
        <w:rPr>
          <w:rFonts w:hint="eastAsia"/>
        </w:rPr>
        <w:t>纤维</w:t>
      </w:r>
      <w:bookmarkEnd w:id="198"/>
      <w:bookmarkEnd w:id="199"/>
      <w:bookmarkEnd w:id="200"/>
      <w:bookmarkEnd w:id="201"/>
      <w:bookmarkEnd w:id="202"/>
    </w:p>
    <w:p w14:paraId="70EF35AB">
      <w:pPr>
        <w:pStyle w:val="64"/>
        <w:ind w:firstLine="420"/>
      </w:pPr>
      <w:r>
        <w:rPr>
          <w:rFonts w:hint="eastAsia"/>
        </w:rPr>
        <w:t>超薄罩面用纤维质量符合JT/T 533中的规定，掺加比例符合</w:t>
      </w:r>
      <w:r>
        <w:rPr>
          <w:rFonts w:hint="eastAsia" w:hAnsi="宋体"/>
        </w:rPr>
        <w:t>JTG F40的规定</w:t>
      </w:r>
      <w:r>
        <w:rPr>
          <w:rFonts w:hint="eastAsia"/>
        </w:rPr>
        <w:t>。</w:t>
      </w:r>
    </w:p>
    <w:p w14:paraId="23EAE632">
      <w:pPr>
        <w:pStyle w:val="112"/>
        <w:spacing w:before="312" w:after="312"/>
      </w:pPr>
      <w:bookmarkStart w:id="203" w:name="_Toc183898585"/>
      <w:bookmarkStart w:id="204" w:name="_Toc176167851"/>
      <w:bookmarkStart w:id="205" w:name="_Toc183897520"/>
      <w:bookmarkStart w:id="206" w:name="_Toc184997588"/>
      <w:bookmarkStart w:id="207" w:name="_Toc183898297"/>
      <w:bookmarkStart w:id="208" w:name="_Toc183898450"/>
      <w:bookmarkStart w:id="209" w:name="_Toc183897612"/>
      <w:r>
        <w:t>沥青混合料设计</w:t>
      </w:r>
      <w:bookmarkEnd w:id="203"/>
      <w:bookmarkEnd w:id="204"/>
      <w:bookmarkEnd w:id="205"/>
      <w:bookmarkEnd w:id="206"/>
      <w:bookmarkEnd w:id="207"/>
      <w:bookmarkEnd w:id="208"/>
      <w:bookmarkEnd w:id="209"/>
    </w:p>
    <w:p w14:paraId="058DD66C">
      <w:pPr>
        <w:pStyle w:val="113"/>
        <w:spacing w:before="156" w:after="156"/>
      </w:pPr>
      <w:bookmarkStart w:id="210" w:name="_Toc184997589"/>
      <w:r>
        <w:rPr>
          <w:rFonts w:hint="eastAsia"/>
        </w:rPr>
        <w:t>配合比设计</w:t>
      </w:r>
      <w:bookmarkEnd w:id="210"/>
    </w:p>
    <w:p w14:paraId="7B95D766">
      <w:pPr>
        <w:pStyle w:val="73"/>
        <w:spacing w:before="156" w:after="156"/>
      </w:pPr>
      <w:bookmarkStart w:id="211" w:name="_Toc183897525"/>
      <w:r>
        <w:rPr>
          <w:rFonts w:ascii="宋体" w:hAnsi="宋体" w:eastAsia="宋体"/>
        </w:rPr>
        <w:t>超薄罩面</w:t>
      </w:r>
      <w:r>
        <w:rPr>
          <w:rFonts w:hint="eastAsia" w:ascii="宋体" w:hAnsi="宋体" w:eastAsia="宋体"/>
        </w:rPr>
        <w:t>用沥青</w:t>
      </w:r>
      <w:r>
        <w:rPr>
          <w:rFonts w:ascii="宋体" w:hAnsi="宋体" w:eastAsia="宋体"/>
        </w:rPr>
        <w:t>混合料宜采用骨架-密实型级配</w:t>
      </w:r>
      <w:r>
        <w:rPr>
          <w:rFonts w:hint="eastAsia" w:ascii="宋体" w:hAnsi="宋体" w:eastAsia="宋体"/>
        </w:rPr>
        <w:t>，矿料级配宜符合</w:t>
      </w:r>
      <w:r>
        <w:rPr>
          <w:rFonts w:ascii="宋体" w:hAnsi="宋体" w:eastAsia="宋体"/>
        </w:rPr>
        <w:t>表</w:t>
      </w:r>
      <w:r>
        <w:rPr>
          <w:rFonts w:hint="eastAsia" w:ascii="宋体" w:hAnsi="宋体" w:eastAsia="宋体"/>
        </w:rPr>
        <w:t>5的规定。</w:t>
      </w:r>
      <w:bookmarkEnd w:id="211"/>
      <w:r>
        <w:rPr>
          <w:rFonts w:ascii="宋体" w:hAnsi="宋体" w:eastAsia="宋体"/>
        </w:rPr>
        <w:t xml:space="preserve"> </w:t>
      </w:r>
      <w:r>
        <w:rPr>
          <w:rFonts w:hint="eastAsia"/>
        </w:rPr>
        <w:br w:type="page"/>
      </w:r>
    </w:p>
    <w:p w14:paraId="3E755772">
      <w:pPr>
        <w:pStyle w:val="120"/>
        <w:spacing w:before="156" w:after="156"/>
      </w:pPr>
      <w:bookmarkStart w:id="212" w:name="_Hlk185151057"/>
      <w:r>
        <w:rPr>
          <w:rFonts w:hint="eastAsia"/>
        </w:rPr>
        <w:t>典型超薄罩面用沥青混合料</w:t>
      </w:r>
      <w:r>
        <w:t>建议矿料级配范围</w:t>
      </w:r>
    </w:p>
    <w:bookmarkEnd w:id="212"/>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697"/>
        <w:gridCol w:w="1085"/>
        <w:gridCol w:w="1085"/>
        <w:gridCol w:w="955"/>
        <w:gridCol w:w="955"/>
        <w:gridCol w:w="957"/>
        <w:gridCol w:w="957"/>
        <w:gridCol w:w="958"/>
        <w:gridCol w:w="966"/>
      </w:tblGrid>
      <w:tr w14:paraId="4551D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99" w:type="pct"/>
            <w:vMerge w:val="restart"/>
            <w:vAlign w:val="center"/>
          </w:tcPr>
          <w:p w14:paraId="36A87FC4">
            <w:pPr>
              <w:adjustRightInd/>
              <w:spacing w:line="240" w:lineRule="auto"/>
              <w:jc w:val="center"/>
              <w:rPr>
                <w:rFonts w:ascii="宋体" w:hAnsi="宋体"/>
                <w:sz w:val="18"/>
                <w:szCs w:val="18"/>
              </w:rPr>
            </w:pPr>
            <w:bookmarkStart w:id="213" w:name="_Hlk185151043"/>
            <w:r>
              <w:rPr>
                <w:rFonts w:hint="eastAsia" w:ascii="宋体" w:hAnsi="宋体"/>
                <w:sz w:val="18"/>
                <w:szCs w:val="18"/>
              </w:rPr>
              <w:t>级配</w:t>
            </w:r>
          </w:p>
          <w:p w14:paraId="793A4363">
            <w:pPr>
              <w:adjustRightInd/>
              <w:spacing w:line="240" w:lineRule="auto"/>
              <w:jc w:val="center"/>
              <w:rPr>
                <w:rFonts w:ascii="宋体" w:hAnsi="宋体"/>
                <w:sz w:val="18"/>
                <w:szCs w:val="18"/>
              </w:rPr>
            </w:pPr>
            <w:r>
              <w:rPr>
                <w:rFonts w:hint="eastAsia" w:ascii="宋体" w:hAnsi="宋体"/>
                <w:sz w:val="18"/>
                <w:szCs w:val="18"/>
              </w:rPr>
              <w:t>类型</w:t>
            </w:r>
          </w:p>
        </w:tc>
        <w:tc>
          <w:tcPr>
            <w:tcW w:w="4500" w:type="pct"/>
            <w:gridSpan w:val="9"/>
            <w:vAlign w:val="center"/>
          </w:tcPr>
          <w:p w14:paraId="4B382E37">
            <w:pPr>
              <w:adjustRightInd/>
              <w:spacing w:line="240" w:lineRule="auto"/>
              <w:jc w:val="center"/>
              <w:rPr>
                <w:rFonts w:ascii="宋体" w:hAnsi="宋体"/>
                <w:sz w:val="18"/>
                <w:szCs w:val="18"/>
              </w:rPr>
            </w:pPr>
            <w:r>
              <w:rPr>
                <w:rFonts w:hint="eastAsia" w:ascii="宋体" w:hAnsi="宋体"/>
                <w:sz w:val="18"/>
                <w:szCs w:val="18"/>
              </w:rPr>
              <w:t>通过下列筛孔（m</w:t>
            </w:r>
            <w:r>
              <w:rPr>
                <w:rFonts w:ascii="宋体" w:hAnsi="宋体"/>
                <w:sz w:val="18"/>
                <w:szCs w:val="18"/>
              </w:rPr>
              <w:t>m</w:t>
            </w:r>
            <w:r>
              <w:rPr>
                <w:rFonts w:hint="eastAsia" w:ascii="宋体" w:hAnsi="宋体"/>
                <w:sz w:val="18"/>
                <w:szCs w:val="18"/>
              </w:rPr>
              <w:t>）的质量百分率（%）</w:t>
            </w:r>
          </w:p>
        </w:tc>
      </w:tr>
      <w:tr w14:paraId="088C7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99" w:type="pct"/>
            <w:vMerge w:val="continue"/>
            <w:vAlign w:val="center"/>
          </w:tcPr>
          <w:p w14:paraId="703A6CF9">
            <w:pPr>
              <w:adjustRightInd/>
              <w:spacing w:line="240" w:lineRule="auto"/>
              <w:jc w:val="center"/>
              <w:rPr>
                <w:rFonts w:ascii="宋体" w:hAnsi="宋体"/>
                <w:sz w:val="18"/>
                <w:szCs w:val="18"/>
              </w:rPr>
            </w:pPr>
          </w:p>
        </w:tc>
        <w:tc>
          <w:tcPr>
            <w:tcW w:w="364" w:type="pct"/>
            <w:vAlign w:val="center"/>
          </w:tcPr>
          <w:p w14:paraId="0C73822C">
            <w:pPr>
              <w:adjustRightInd/>
              <w:spacing w:line="240" w:lineRule="auto"/>
              <w:jc w:val="center"/>
              <w:rPr>
                <w:rFonts w:ascii="宋体" w:hAnsi="宋体"/>
                <w:sz w:val="18"/>
                <w:szCs w:val="18"/>
              </w:rPr>
            </w:pPr>
            <w:r>
              <w:rPr>
                <w:rFonts w:ascii="宋体" w:hAnsi="宋体"/>
                <w:sz w:val="18"/>
                <w:szCs w:val="18"/>
              </w:rPr>
              <w:t>9.5</w:t>
            </w:r>
          </w:p>
        </w:tc>
        <w:tc>
          <w:tcPr>
            <w:tcW w:w="567" w:type="pct"/>
            <w:vAlign w:val="center"/>
          </w:tcPr>
          <w:p w14:paraId="4655933F">
            <w:pPr>
              <w:adjustRightInd/>
              <w:spacing w:line="240" w:lineRule="auto"/>
              <w:jc w:val="center"/>
              <w:rPr>
                <w:rFonts w:ascii="宋体" w:hAnsi="宋体"/>
                <w:sz w:val="18"/>
                <w:szCs w:val="18"/>
              </w:rPr>
            </w:pPr>
            <w:r>
              <w:rPr>
                <w:rFonts w:ascii="宋体" w:hAnsi="宋体"/>
                <w:sz w:val="18"/>
                <w:szCs w:val="18"/>
              </w:rPr>
              <w:t>8.0</w:t>
            </w:r>
          </w:p>
        </w:tc>
        <w:tc>
          <w:tcPr>
            <w:tcW w:w="567" w:type="pct"/>
            <w:vAlign w:val="center"/>
          </w:tcPr>
          <w:p w14:paraId="5BFEB9BE">
            <w:pPr>
              <w:adjustRightInd/>
              <w:spacing w:line="240" w:lineRule="auto"/>
              <w:jc w:val="center"/>
              <w:rPr>
                <w:rFonts w:ascii="宋体" w:hAnsi="宋体"/>
                <w:sz w:val="18"/>
                <w:szCs w:val="18"/>
              </w:rPr>
            </w:pPr>
            <w:r>
              <w:rPr>
                <w:rFonts w:ascii="宋体" w:hAnsi="宋体"/>
                <w:sz w:val="18"/>
                <w:szCs w:val="18"/>
              </w:rPr>
              <w:t>4.75</w:t>
            </w:r>
          </w:p>
        </w:tc>
        <w:tc>
          <w:tcPr>
            <w:tcW w:w="499" w:type="pct"/>
            <w:vAlign w:val="center"/>
          </w:tcPr>
          <w:p w14:paraId="56289067">
            <w:pPr>
              <w:adjustRightInd/>
              <w:spacing w:line="240" w:lineRule="auto"/>
              <w:jc w:val="center"/>
              <w:rPr>
                <w:rFonts w:ascii="宋体" w:hAnsi="宋体"/>
                <w:sz w:val="18"/>
                <w:szCs w:val="18"/>
              </w:rPr>
            </w:pPr>
            <w:r>
              <w:rPr>
                <w:rFonts w:ascii="宋体" w:hAnsi="宋体"/>
                <w:sz w:val="18"/>
                <w:szCs w:val="18"/>
              </w:rPr>
              <w:t>2.36</w:t>
            </w:r>
          </w:p>
        </w:tc>
        <w:tc>
          <w:tcPr>
            <w:tcW w:w="499" w:type="pct"/>
            <w:vAlign w:val="center"/>
          </w:tcPr>
          <w:p w14:paraId="6D38AC36">
            <w:pPr>
              <w:adjustRightInd/>
              <w:spacing w:line="240" w:lineRule="auto"/>
              <w:jc w:val="center"/>
              <w:rPr>
                <w:rFonts w:ascii="宋体" w:hAnsi="宋体"/>
                <w:sz w:val="18"/>
                <w:szCs w:val="18"/>
              </w:rPr>
            </w:pPr>
            <w:r>
              <w:rPr>
                <w:rFonts w:ascii="宋体" w:hAnsi="宋体"/>
                <w:sz w:val="18"/>
                <w:szCs w:val="18"/>
              </w:rPr>
              <w:t>1.18</w:t>
            </w:r>
          </w:p>
        </w:tc>
        <w:tc>
          <w:tcPr>
            <w:tcW w:w="500" w:type="pct"/>
            <w:vAlign w:val="center"/>
          </w:tcPr>
          <w:p w14:paraId="323389EE">
            <w:pPr>
              <w:adjustRightInd/>
              <w:spacing w:line="240" w:lineRule="auto"/>
              <w:jc w:val="center"/>
              <w:rPr>
                <w:rFonts w:ascii="宋体" w:hAnsi="宋体"/>
                <w:sz w:val="18"/>
                <w:szCs w:val="18"/>
              </w:rPr>
            </w:pPr>
            <w:r>
              <w:rPr>
                <w:rFonts w:ascii="宋体" w:hAnsi="宋体"/>
                <w:sz w:val="18"/>
                <w:szCs w:val="18"/>
              </w:rPr>
              <w:t>0.6</w:t>
            </w:r>
          </w:p>
        </w:tc>
        <w:tc>
          <w:tcPr>
            <w:tcW w:w="500" w:type="pct"/>
            <w:vAlign w:val="center"/>
          </w:tcPr>
          <w:p w14:paraId="7E3F421A">
            <w:pPr>
              <w:adjustRightInd/>
              <w:spacing w:line="240" w:lineRule="auto"/>
              <w:jc w:val="center"/>
              <w:rPr>
                <w:rFonts w:ascii="宋体" w:hAnsi="宋体"/>
                <w:sz w:val="18"/>
                <w:szCs w:val="18"/>
              </w:rPr>
            </w:pPr>
            <w:r>
              <w:rPr>
                <w:rFonts w:ascii="宋体" w:hAnsi="宋体"/>
                <w:sz w:val="18"/>
                <w:szCs w:val="18"/>
              </w:rPr>
              <w:t>0.3</w:t>
            </w:r>
          </w:p>
        </w:tc>
        <w:tc>
          <w:tcPr>
            <w:tcW w:w="500" w:type="pct"/>
            <w:vAlign w:val="center"/>
          </w:tcPr>
          <w:p w14:paraId="5BD7ED0F">
            <w:pPr>
              <w:adjustRightInd/>
              <w:spacing w:line="240" w:lineRule="auto"/>
              <w:jc w:val="center"/>
              <w:rPr>
                <w:rFonts w:ascii="宋体" w:hAnsi="宋体"/>
                <w:sz w:val="18"/>
                <w:szCs w:val="18"/>
              </w:rPr>
            </w:pPr>
            <w:r>
              <w:rPr>
                <w:rFonts w:ascii="宋体" w:hAnsi="宋体"/>
                <w:sz w:val="18"/>
                <w:szCs w:val="18"/>
              </w:rPr>
              <w:t>0.15</w:t>
            </w:r>
          </w:p>
        </w:tc>
        <w:tc>
          <w:tcPr>
            <w:tcW w:w="499" w:type="pct"/>
            <w:vAlign w:val="center"/>
          </w:tcPr>
          <w:p w14:paraId="05AE3DFB">
            <w:pPr>
              <w:adjustRightInd/>
              <w:spacing w:line="240" w:lineRule="auto"/>
              <w:jc w:val="center"/>
              <w:rPr>
                <w:rFonts w:ascii="宋体" w:hAnsi="宋体"/>
                <w:sz w:val="18"/>
                <w:szCs w:val="18"/>
              </w:rPr>
            </w:pPr>
            <w:r>
              <w:rPr>
                <w:rFonts w:ascii="宋体" w:hAnsi="宋体"/>
                <w:sz w:val="18"/>
                <w:szCs w:val="18"/>
              </w:rPr>
              <w:t>0.075</w:t>
            </w:r>
          </w:p>
        </w:tc>
      </w:tr>
      <w:tr w14:paraId="744D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99" w:type="pct"/>
            <w:vAlign w:val="center"/>
          </w:tcPr>
          <w:p w14:paraId="10D931EC">
            <w:pPr>
              <w:adjustRightInd/>
              <w:spacing w:line="240" w:lineRule="auto"/>
              <w:jc w:val="center"/>
              <w:rPr>
                <w:rFonts w:ascii="宋体" w:hAnsi="宋体"/>
                <w:sz w:val="18"/>
                <w:szCs w:val="18"/>
              </w:rPr>
            </w:pPr>
            <w:r>
              <w:rPr>
                <w:rFonts w:ascii="宋体" w:hAnsi="宋体"/>
                <w:sz w:val="18"/>
                <w:szCs w:val="18"/>
              </w:rPr>
              <w:t>SMA-8</w:t>
            </w:r>
          </w:p>
        </w:tc>
        <w:tc>
          <w:tcPr>
            <w:tcW w:w="364" w:type="pct"/>
            <w:vAlign w:val="center"/>
          </w:tcPr>
          <w:p w14:paraId="775CE6AD">
            <w:pPr>
              <w:adjustRightInd/>
              <w:spacing w:line="240" w:lineRule="auto"/>
              <w:jc w:val="center"/>
              <w:rPr>
                <w:rFonts w:ascii="宋体" w:hAnsi="宋体"/>
                <w:sz w:val="18"/>
                <w:szCs w:val="18"/>
              </w:rPr>
            </w:pPr>
            <w:r>
              <w:rPr>
                <w:rFonts w:ascii="宋体" w:hAnsi="宋体"/>
                <w:sz w:val="18"/>
                <w:szCs w:val="18"/>
              </w:rPr>
              <w:t>100</w:t>
            </w:r>
          </w:p>
        </w:tc>
        <w:tc>
          <w:tcPr>
            <w:tcW w:w="567" w:type="pct"/>
            <w:vAlign w:val="center"/>
          </w:tcPr>
          <w:p w14:paraId="420A60AD">
            <w:pPr>
              <w:adjustRightInd/>
              <w:spacing w:line="240" w:lineRule="auto"/>
              <w:jc w:val="center"/>
              <w:rPr>
                <w:rFonts w:ascii="宋体" w:hAnsi="宋体"/>
                <w:sz w:val="18"/>
                <w:szCs w:val="18"/>
              </w:rPr>
            </w:pPr>
            <w:r>
              <w:rPr>
                <w:rFonts w:ascii="宋体" w:hAnsi="宋体"/>
                <w:sz w:val="18"/>
                <w:szCs w:val="18"/>
              </w:rPr>
              <w:t>90</w:t>
            </w:r>
            <w:r>
              <w:rPr>
                <w:rFonts w:ascii="Times New Roman" w:hAnsi="Times New Roman"/>
                <w:sz w:val="18"/>
                <w:szCs w:val="18"/>
              </w:rPr>
              <w:t>～</w:t>
            </w:r>
            <w:r>
              <w:rPr>
                <w:rFonts w:ascii="宋体" w:hAnsi="宋体"/>
                <w:sz w:val="18"/>
                <w:szCs w:val="18"/>
              </w:rPr>
              <w:t>100</w:t>
            </w:r>
          </w:p>
        </w:tc>
        <w:tc>
          <w:tcPr>
            <w:tcW w:w="567" w:type="pct"/>
            <w:vAlign w:val="center"/>
          </w:tcPr>
          <w:p w14:paraId="232BA0FF">
            <w:pPr>
              <w:adjustRightInd/>
              <w:spacing w:line="240" w:lineRule="auto"/>
              <w:jc w:val="center"/>
              <w:rPr>
                <w:rFonts w:ascii="宋体" w:hAnsi="宋体"/>
                <w:sz w:val="18"/>
                <w:szCs w:val="18"/>
              </w:rPr>
            </w:pPr>
            <w:r>
              <w:rPr>
                <w:rFonts w:ascii="宋体" w:hAnsi="宋体"/>
                <w:sz w:val="18"/>
                <w:szCs w:val="18"/>
              </w:rPr>
              <w:t>28</w:t>
            </w:r>
            <w:r>
              <w:rPr>
                <w:rFonts w:ascii="Times New Roman" w:hAnsi="Times New Roman"/>
                <w:sz w:val="18"/>
                <w:szCs w:val="18"/>
              </w:rPr>
              <w:t>～</w:t>
            </w:r>
            <w:r>
              <w:rPr>
                <w:rFonts w:ascii="宋体" w:hAnsi="宋体"/>
                <w:sz w:val="18"/>
                <w:szCs w:val="18"/>
              </w:rPr>
              <w:t>60</w:t>
            </w:r>
          </w:p>
        </w:tc>
        <w:tc>
          <w:tcPr>
            <w:tcW w:w="499" w:type="pct"/>
            <w:vAlign w:val="center"/>
          </w:tcPr>
          <w:p w14:paraId="5BCC0970">
            <w:pPr>
              <w:adjustRightInd/>
              <w:spacing w:line="240" w:lineRule="auto"/>
              <w:jc w:val="center"/>
              <w:rPr>
                <w:rFonts w:ascii="宋体" w:hAnsi="宋体"/>
                <w:sz w:val="18"/>
                <w:szCs w:val="18"/>
              </w:rPr>
            </w:pPr>
            <w:r>
              <w:rPr>
                <w:rFonts w:ascii="宋体" w:hAnsi="宋体"/>
                <w:sz w:val="18"/>
                <w:szCs w:val="18"/>
              </w:rPr>
              <w:t>20</w:t>
            </w:r>
            <w:r>
              <w:rPr>
                <w:rFonts w:ascii="Times New Roman" w:hAnsi="Times New Roman"/>
                <w:sz w:val="18"/>
                <w:szCs w:val="18"/>
              </w:rPr>
              <w:t>～</w:t>
            </w:r>
            <w:r>
              <w:rPr>
                <w:rFonts w:ascii="宋体" w:hAnsi="宋体"/>
                <w:sz w:val="18"/>
                <w:szCs w:val="18"/>
              </w:rPr>
              <w:t>32</w:t>
            </w:r>
          </w:p>
        </w:tc>
        <w:tc>
          <w:tcPr>
            <w:tcW w:w="499" w:type="pct"/>
            <w:vAlign w:val="center"/>
          </w:tcPr>
          <w:p w14:paraId="3D92ED5F">
            <w:pPr>
              <w:adjustRightInd/>
              <w:spacing w:line="240" w:lineRule="auto"/>
              <w:jc w:val="center"/>
              <w:rPr>
                <w:rFonts w:ascii="宋体" w:hAnsi="宋体"/>
                <w:sz w:val="18"/>
                <w:szCs w:val="18"/>
              </w:rPr>
            </w:pPr>
            <w:r>
              <w:rPr>
                <w:rFonts w:ascii="宋体" w:hAnsi="宋体"/>
                <w:sz w:val="18"/>
                <w:szCs w:val="18"/>
              </w:rPr>
              <w:t>14</w:t>
            </w:r>
            <w:r>
              <w:rPr>
                <w:rFonts w:ascii="Times New Roman" w:hAnsi="Times New Roman"/>
                <w:sz w:val="18"/>
                <w:szCs w:val="18"/>
              </w:rPr>
              <w:t>～</w:t>
            </w:r>
            <w:r>
              <w:rPr>
                <w:rFonts w:ascii="宋体" w:hAnsi="宋体"/>
                <w:sz w:val="18"/>
                <w:szCs w:val="18"/>
              </w:rPr>
              <w:t>26</w:t>
            </w:r>
          </w:p>
        </w:tc>
        <w:tc>
          <w:tcPr>
            <w:tcW w:w="500" w:type="pct"/>
            <w:vAlign w:val="center"/>
          </w:tcPr>
          <w:p w14:paraId="48A92DA1">
            <w:pPr>
              <w:adjustRightInd/>
              <w:spacing w:line="240" w:lineRule="auto"/>
              <w:jc w:val="center"/>
              <w:rPr>
                <w:rFonts w:ascii="宋体" w:hAnsi="宋体"/>
                <w:sz w:val="18"/>
                <w:szCs w:val="18"/>
              </w:rPr>
            </w:pPr>
            <w:r>
              <w:rPr>
                <w:rFonts w:ascii="宋体" w:hAnsi="宋体"/>
                <w:sz w:val="18"/>
                <w:szCs w:val="18"/>
              </w:rPr>
              <w:t>12</w:t>
            </w:r>
            <w:r>
              <w:rPr>
                <w:rFonts w:ascii="Times New Roman" w:hAnsi="Times New Roman"/>
                <w:sz w:val="18"/>
                <w:szCs w:val="18"/>
              </w:rPr>
              <w:t>～</w:t>
            </w:r>
            <w:r>
              <w:rPr>
                <w:rFonts w:ascii="宋体" w:hAnsi="宋体"/>
                <w:sz w:val="18"/>
                <w:szCs w:val="18"/>
              </w:rPr>
              <w:t>22</w:t>
            </w:r>
          </w:p>
        </w:tc>
        <w:tc>
          <w:tcPr>
            <w:tcW w:w="500" w:type="pct"/>
            <w:vAlign w:val="center"/>
          </w:tcPr>
          <w:p w14:paraId="1D484458">
            <w:pPr>
              <w:adjustRightInd/>
              <w:spacing w:line="240" w:lineRule="auto"/>
              <w:jc w:val="center"/>
              <w:rPr>
                <w:rFonts w:ascii="宋体" w:hAnsi="宋体"/>
                <w:sz w:val="18"/>
                <w:szCs w:val="18"/>
              </w:rPr>
            </w:pPr>
            <w:r>
              <w:rPr>
                <w:rFonts w:ascii="宋体" w:hAnsi="宋体"/>
                <w:sz w:val="18"/>
                <w:szCs w:val="18"/>
              </w:rPr>
              <w:t>10</w:t>
            </w:r>
            <w:r>
              <w:rPr>
                <w:rFonts w:ascii="Times New Roman" w:hAnsi="Times New Roman"/>
                <w:sz w:val="18"/>
                <w:szCs w:val="18"/>
              </w:rPr>
              <w:t>～</w:t>
            </w:r>
            <w:r>
              <w:rPr>
                <w:rFonts w:ascii="宋体" w:hAnsi="宋体"/>
                <w:sz w:val="18"/>
                <w:szCs w:val="18"/>
              </w:rPr>
              <w:t>18</w:t>
            </w:r>
          </w:p>
        </w:tc>
        <w:tc>
          <w:tcPr>
            <w:tcW w:w="500" w:type="pct"/>
            <w:vAlign w:val="center"/>
          </w:tcPr>
          <w:p w14:paraId="7872A90D">
            <w:pPr>
              <w:adjustRightInd/>
              <w:spacing w:line="240" w:lineRule="auto"/>
              <w:jc w:val="center"/>
              <w:rPr>
                <w:rFonts w:ascii="宋体" w:hAnsi="宋体"/>
                <w:sz w:val="18"/>
                <w:szCs w:val="18"/>
              </w:rPr>
            </w:pPr>
            <w:r>
              <w:rPr>
                <w:rFonts w:ascii="宋体" w:hAnsi="宋体"/>
                <w:sz w:val="18"/>
                <w:szCs w:val="18"/>
              </w:rPr>
              <w:t>9</w:t>
            </w:r>
            <w:r>
              <w:rPr>
                <w:rFonts w:ascii="Times New Roman" w:hAnsi="Times New Roman"/>
                <w:sz w:val="18"/>
                <w:szCs w:val="18"/>
              </w:rPr>
              <w:t>～</w:t>
            </w:r>
            <w:r>
              <w:rPr>
                <w:rFonts w:ascii="宋体" w:hAnsi="宋体"/>
                <w:sz w:val="18"/>
                <w:szCs w:val="18"/>
              </w:rPr>
              <w:t>16</w:t>
            </w:r>
          </w:p>
        </w:tc>
        <w:tc>
          <w:tcPr>
            <w:tcW w:w="499" w:type="pct"/>
            <w:vAlign w:val="center"/>
          </w:tcPr>
          <w:p w14:paraId="61CC43B1">
            <w:pPr>
              <w:adjustRightInd/>
              <w:spacing w:line="240" w:lineRule="auto"/>
              <w:jc w:val="center"/>
              <w:rPr>
                <w:rFonts w:ascii="宋体" w:hAnsi="宋体"/>
                <w:sz w:val="18"/>
                <w:szCs w:val="18"/>
              </w:rPr>
            </w:pPr>
            <w:r>
              <w:rPr>
                <w:rFonts w:ascii="宋体" w:hAnsi="宋体"/>
                <w:sz w:val="18"/>
                <w:szCs w:val="18"/>
              </w:rPr>
              <w:t>8</w:t>
            </w:r>
            <w:r>
              <w:rPr>
                <w:rFonts w:ascii="Times New Roman" w:hAnsi="Times New Roman"/>
                <w:sz w:val="18"/>
                <w:szCs w:val="18"/>
              </w:rPr>
              <w:t>～</w:t>
            </w:r>
            <w:r>
              <w:rPr>
                <w:rFonts w:ascii="宋体" w:hAnsi="宋体"/>
                <w:sz w:val="18"/>
                <w:szCs w:val="18"/>
              </w:rPr>
              <w:t>13</w:t>
            </w:r>
          </w:p>
        </w:tc>
      </w:tr>
      <w:tr w14:paraId="0FA1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99" w:type="pct"/>
            <w:vAlign w:val="center"/>
          </w:tcPr>
          <w:p w14:paraId="68C1C058">
            <w:pPr>
              <w:adjustRightInd/>
              <w:spacing w:line="240" w:lineRule="auto"/>
              <w:jc w:val="center"/>
              <w:rPr>
                <w:rFonts w:ascii="宋体" w:hAnsi="宋体"/>
                <w:sz w:val="18"/>
                <w:szCs w:val="18"/>
              </w:rPr>
            </w:pPr>
            <w:r>
              <w:rPr>
                <w:rFonts w:ascii="宋体" w:hAnsi="宋体"/>
                <w:sz w:val="18"/>
                <w:szCs w:val="18"/>
              </w:rPr>
              <w:t>SMA-5</w:t>
            </w:r>
          </w:p>
        </w:tc>
        <w:tc>
          <w:tcPr>
            <w:tcW w:w="364" w:type="pct"/>
            <w:vAlign w:val="center"/>
          </w:tcPr>
          <w:p w14:paraId="6BFCEE5F">
            <w:pPr>
              <w:adjustRightInd/>
              <w:spacing w:line="240" w:lineRule="auto"/>
              <w:jc w:val="center"/>
              <w:rPr>
                <w:rFonts w:ascii="宋体" w:hAnsi="宋体"/>
                <w:sz w:val="18"/>
                <w:szCs w:val="18"/>
              </w:rPr>
            </w:pPr>
            <w:r>
              <w:rPr>
                <w:rFonts w:ascii="宋体" w:hAnsi="宋体"/>
                <w:sz w:val="18"/>
                <w:szCs w:val="18"/>
              </w:rPr>
              <w:t>100</w:t>
            </w:r>
          </w:p>
        </w:tc>
        <w:tc>
          <w:tcPr>
            <w:tcW w:w="567" w:type="pct"/>
            <w:vAlign w:val="center"/>
          </w:tcPr>
          <w:p w14:paraId="61519CC2">
            <w:pPr>
              <w:adjustRightInd/>
              <w:spacing w:line="240" w:lineRule="auto"/>
              <w:jc w:val="center"/>
              <w:rPr>
                <w:rFonts w:ascii="宋体" w:hAnsi="宋体"/>
                <w:sz w:val="18"/>
                <w:szCs w:val="18"/>
              </w:rPr>
            </w:pPr>
            <w:r>
              <w:rPr>
                <w:rFonts w:ascii="宋体" w:hAnsi="宋体"/>
                <w:sz w:val="18"/>
                <w:szCs w:val="18"/>
              </w:rPr>
              <w:t>100</w:t>
            </w:r>
          </w:p>
        </w:tc>
        <w:tc>
          <w:tcPr>
            <w:tcW w:w="567" w:type="pct"/>
            <w:vAlign w:val="center"/>
          </w:tcPr>
          <w:p w14:paraId="12F7AE33">
            <w:pPr>
              <w:adjustRightInd/>
              <w:spacing w:line="240" w:lineRule="auto"/>
              <w:jc w:val="center"/>
              <w:rPr>
                <w:rFonts w:ascii="宋体" w:hAnsi="宋体"/>
                <w:sz w:val="18"/>
                <w:szCs w:val="18"/>
              </w:rPr>
            </w:pPr>
            <w:r>
              <w:rPr>
                <w:rFonts w:ascii="宋体" w:hAnsi="宋体"/>
                <w:sz w:val="18"/>
                <w:szCs w:val="18"/>
              </w:rPr>
              <w:t>90</w:t>
            </w:r>
            <w:r>
              <w:rPr>
                <w:rFonts w:ascii="Times New Roman" w:hAnsi="Times New Roman"/>
                <w:sz w:val="18"/>
                <w:szCs w:val="18"/>
              </w:rPr>
              <w:t>～</w:t>
            </w:r>
            <w:r>
              <w:rPr>
                <w:rFonts w:ascii="宋体" w:hAnsi="宋体"/>
                <w:sz w:val="18"/>
                <w:szCs w:val="18"/>
              </w:rPr>
              <w:t>100</w:t>
            </w:r>
          </w:p>
        </w:tc>
        <w:tc>
          <w:tcPr>
            <w:tcW w:w="499" w:type="pct"/>
            <w:vAlign w:val="center"/>
          </w:tcPr>
          <w:p w14:paraId="42E28756">
            <w:pPr>
              <w:adjustRightInd/>
              <w:spacing w:line="240" w:lineRule="auto"/>
              <w:jc w:val="center"/>
              <w:rPr>
                <w:rFonts w:ascii="宋体" w:hAnsi="宋体"/>
                <w:sz w:val="18"/>
                <w:szCs w:val="18"/>
              </w:rPr>
            </w:pPr>
            <w:r>
              <w:rPr>
                <w:rFonts w:ascii="宋体" w:hAnsi="宋体"/>
                <w:sz w:val="18"/>
                <w:szCs w:val="18"/>
              </w:rPr>
              <w:t>28</w:t>
            </w:r>
            <w:r>
              <w:rPr>
                <w:rFonts w:ascii="Times New Roman" w:hAnsi="Times New Roman"/>
                <w:sz w:val="18"/>
                <w:szCs w:val="18"/>
              </w:rPr>
              <w:t>～</w:t>
            </w:r>
            <w:r>
              <w:rPr>
                <w:rFonts w:ascii="宋体" w:hAnsi="宋体"/>
                <w:sz w:val="18"/>
                <w:szCs w:val="18"/>
              </w:rPr>
              <w:t>35</w:t>
            </w:r>
          </w:p>
        </w:tc>
        <w:tc>
          <w:tcPr>
            <w:tcW w:w="499" w:type="pct"/>
            <w:vAlign w:val="center"/>
          </w:tcPr>
          <w:p w14:paraId="076EB98D">
            <w:pPr>
              <w:adjustRightInd/>
              <w:spacing w:line="240" w:lineRule="auto"/>
              <w:jc w:val="center"/>
              <w:rPr>
                <w:rFonts w:ascii="宋体" w:hAnsi="宋体"/>
                <w:sz w:val="18"/>
                <w:szCs w:val="18"/>
              </w:rPr>
            </w:pPr>
            <w:r>
              <w:rPr>
                <w:rFonts w:ascii="宋体" w:hAnsi="宋体"/>
                <w:sz w:val="18"/>
                <w:szCs w:val="18"/>
              </w:rPr>
              <w:t>20</w:t>
            </w:r>
            <w:r>
              <w:rPr>
                <w:rFonts w:ascii="Times New Roman" w:hAnsi="Times New Roman"/>
                <w:sz w:val="18"/>
                <w:szCs w:val="18"/>
              </w:rPr>
              <w:t>～</w:t>
            </w:r>
            <w:r>
              <w:rPr>
                <w:rFonts w:ascii="宋体" w:hAnsi="宋体"/>
                <w:sz w:val="18"/>
                <w:szCs w:val="18"/>
              </w:rPr>
              <w:t>26</w:t>
            </w:r>
          </w:p>
        </w:tc>
        <w:tc>
          <w:tcPr>
            <w:tcW w:w="500" w:type="pct"/>
            <w:vAlign w:val="center"/>
          </w:tcPr>
          <w:p w14:paraId="3DD0F864">
            <w:pPr>
              <w:adjustRightInd/>
              <w:spacing w:line="240" w:lineRule="auto"/>
              <w:jc w:val="center"/>
              <w:rPr>
                <w:rFonts w:ascii="宋体" w:hAnsi="宋体"/>
                <w:sz w:val="18"/>
                <w:szCs w:val="18"/>
              </w:rPr>
            </w:pPr>
            <w:r>
              <w:rPr>
                <w:rFonts w:ascii="宋体" w:hAnsi="宋体"/>
                <w:sz w:val="18"/>
                <w:szCs w:val="18"/>
              </w:rPr>
              <w:t>18</w:t>
            </w:r>
            <w:r>
              <w:rPr>
                <w:rFonts w:ascii="Times New Roman" w:hAnsi="Times New Roman"/>
                <w:sz w:val="18"/>
                <w:szCs w:val="18"/>
              </w:rPr>
              <w:t>～</w:t>
            </w:r>
            <w:r>
              <w:rPr>
                <w:rFonts w:ascii="宋体" w:hAnsi="宋体"/>
                <w:sz w:val="18"/>
                <w:szCs w:val="18"/>
              </w:rPr>
              <w:t>26</w:t>
            </w:r>
          </w:p>
        </w:tc>
        <w:tc>
          <w:tcPr>
            <w:tcW w:w="500" w:type="pct"/>
            <w:vAlign w:val="center"/>
          </w:tcPr>
          <w:p w14:paraId="14D5E794">
            <w:pPr>
              <w:adjustRightInd/>
              <w:spacing w:line="240" w:lineRule="auto"/>
              <w:jc w:val="center"/>
              <w:rPr>
                <w:rFonts w:ascii="宋体" w:hAnsi="宋体"/>
                <w:sz w:val="18"/>
                <w:szCs w:val="18"/>
              </w:rPr>
            </w:pPr>
            <w:r>
              <w:rPr>
                <w:rFonts w:ascii="宋体" w:hAnsi="宋体"/>
                <w:sz w:val="18"/>
                <w:szCs w:val="18"/>
              </w:rPr>
              <w:t>15</w:t>
            </w:r>
            <w:r>
              <w:rPr>
                <w:rFonts w:ascii="Times New Roman" w:hAnsi="Times New Roman"/>
                <w:sz w:val="18"/>
                <w:szCs w:val="18"/>
              </w:rPr>
              <w:t>～</w:t>
            </w:r>
            <w:r>
              <w:rPr>
                <w:rFonts w:ascii="宋体" w:hAnsi="宋体"/>
                <w:sz w:val="18"/>
                <w:szCs w:val="18"/>
              </w:rPr>
              <w:t>22</w:t>
            </w:r>
          </w:p>
        </w:tc>
        <w:tc>
          <w:tcPr>
            <w:tcW w:w="500" w:type="pct"/>
            <w:vAlign w:val="center"/>
          </w:tcPr>
          <w:p w14:paraId="6D21C4AC">
            <w:pPr>
              <w:adjustRightInd/>
              <w:spacing w:line="240" w:lineRule="auto"/>
              <w:jc w:val="center"/>
              <w:rPr>
                <w:rFonts w:ascii="宋体" w:hAnsi="宋体"/>
                <w:sz w:val="18"/>
                <w:szCs w:val="18"/>
              </w:rPr>
            </w:pPr>
            <w:r>
              <w:rPr>
                <w:rFonts w:ascii="宋体" w:hAnsi="宋体"/>
                <w:sz w:val="18"/>
                <w:szCs w:val="18"/>
              </w:rPr>
              <w:t>13</w:t>
            </w:r>
            <w:r>
              <w:rPr>
                <w:rFonts w:ascii="Times New Roman" w:hAnsi="Times New Roman"/>
                <w:sz w:val="18"/>
                <w:szCs w:val="18"/>
              </w:rPr>
              <w:t>～</w:t>
            </w:r>
            <w:r>
              <w:rPr>
                <w:rFonts w:ascii="宋体" w:hAnsi="宋体"/>
                <w:sz w:val="18"/>
                <w:szCs w:val="18"/>
              </w:rPr>
              <w:t>18</w:t>
            </w:r>
          </w:p>
        </w:tc>
        <w:tc>
          <w:tcPr>
            <w:tcW w:w="499" w:type="pct"/>
            <w:vAlign w:val="center"/>
          </w:tcPr>
          <w:p w14:paraId="4382E542">
            <w:pPr>
              <w:adjustRightInd/>
              <w:spacing w:line="240" w:lineRule="auto"/>
              <w:jc w:val="center"/>
              <w:rPr>
                <w:rFonts w:ascii="宋体" w:hAnsi="宋体"/>
                <w:sz w:val="18"/>
                <w:szCs w:val="18"/>
              </w:rPr>
            </w:pPr>
            <w:r>
              <w:rPr>
                <w:rFonts w:ascii="宋体" w:hAnsi="宋体"/>
                <w:sz w:val="18"/>
                <w:szCs w:val="18"/>
              </w:rPr>
              <w:t>12</w:t>
            </w:r>
            <w:r>
              <w:rPr>
                <w:rFonts w:ascii="Times New Roman" w:hAnsi="Times New Roman"/>
                <w:sz w:val="18"/>
                <w:szCs w:val="18"/>
              </w:rPr>
              <w:t>～</w:t>
            </w:r>
            <w:r>
              <w:rPr>
                <w:rFonts w:ascii="宋体" w:hAnsi="宋体"/>
                <w:sz w:val="18"/>
                <w:szCs w:val="18"/>
              </w:rPr>
              <w:t>15</w:t>
            </w:r>
          </w:p>
        </w:tc>
      </w:tr>
      <w:bookmarkEnd w:id="213"/>
    </w:tbl>
    <w:p w14:paraId="5167E434">
      <w:pPr>
        <w:pStyle w:val="73"/>
        <w:spacing w:before="156" w:after="156"/>
        <w:rPr>
          <w:rFonts w:ascii="宋体" w:hAnsi="宋体" w:eastAsia="宋体"/>
        </w:rPr>
      </w:pPr>
      <w:bookmarkStart w:id="214" w:name="_Toc183897526"/>
      <w:r>
        <w:rPr>
          <w:rFonts w:hint="eastAsia" w:ascii="宋体" w:hAnsi="宋体" w:eastAsia="宋体"/>
        </w:rPr>
        <w:t>超薄罩面用沥青混合料矿料级配选定后，可采用丰度系数值进行初始沥青含量预估，典型超薄罩面用沥青混合料丰度系数宜符合</w:t>
      </w:r>
      <w:r>
        <w:rPr>
          <w:rFonts w:ascii="宋体" w:hAnsi="宋体" w:eastAsia="宋体"/>
        </w:rPr>
        <w:t>表</w:t>
      </w:r>
      <w:r>
        <w:rPr>
          <w:rFonts w:hint="eastAsia" w:ascii="宋体" w:hAnsi="宋体" w:eastAsia="宋体"/>
        </w:rPr>
        <w:t>6的规定，丰度系数计算见附录</w:t>
      </w:r>
      <w:r>
        <w:rPr>
          <w:rFonts w:ascii="宋体" w:hAnsi="宋体" w:eastAsia="宋体"/>
        </w:rPr>
        <w:t>B</w:t>
      </w:r>
      <w:r>
        <w:rPr>
          <w:rFonts w:hint="eastAsia" w:ascii="宋体" w:hAnsi="宋体" w:eastAsia="宋体"/>
        </w:rPr>
        <w:t>。</w:t>
      </w:r>
      <w:bookmarkEnd w:id="214"/>
    </w:p>
    <w:p w14:paraId="19AA70F1">
      <w:pPr>
        <w:pStyle w:val="120"/>
        <w:spacing w:before="156" w:after="156"/>
      </w:pPr>
      <w:r>
        <w:t>超薄罩面用沥青混合料丰度系数</w:t>
      </w:r>
      <w:r>
        <w:rPr>
          <w:rFonts w:hint="eastAsia"/>
        </w:rPr>
        <w:t>的建议值</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909"/>
        <w:gridCol w:w="4053"/>
        <w:gridCol w:w="3422"/>
      </w:tblGrid>
      <w:tr w14:paraId="769C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017" w:type="pct"/>
            <w:vAlign w:val="center"/>
          </w:tcPr>
          <w:p w14:paraId="3ABB7D0E">
            <w:pPr>
              <w:widowControl/>
              <w:adjustRightInd/>
              <w:spacing w:line="240" w:lineRule="auto"/>
              <w:jc w:val="center"/>
              <w:rPr>
                <w:rFonts w:ascii="宋体" w:hAnsi="宋体"/>
                <w:kern w:val="0"/>
                <w:sz w:val="18"/>
                <w:szCs w:val="18"/>
              </w:rPr>
            </w:pPr>
            <w:r>
              <w:rPr>
                <w:rFonts w:ascii="宋体" w:hAnsi="宋体"/>
                <w:kern w:val="0"/>
                <w:sz w:val="18"/>
                <w:szCs w:val="18"/>
              </w:rPr>
              <w:t>序号</w:t>
            </w:r>
          </w:p>
        </w:tc>
        <w:tc>
          <w:tcPr>
            <w:tcW w:w="2159" w:type="pct"/>
            <w:vAlign w:val="center"/>
          </w:tcPr>
          <w:p w14:paraId="45B96212">
            <w:pPr>
              <w:widowControl/>
              <w:adjustRightInd/>
              <w:spacing w:line="240" w:lineRule="auto"/>
              <w:jc w:val="center"/>
              <w:rPr>
                <w:rFonts w:ascii="宋体" w:hAnsi="宋体"/>
                <w:kern w:val="0"/>
                <w:sz w:val="18"/>
                <w:szCs w:val="18"/>
              </w:rPr>
            </w:pPr>
            <w:r>
              <w:rPr>
                <w:rFonts w:ascii="宋体" w:hAnsi="宋体"/>
                <w:kern w:val="0"/>
                <w:sz w:val="18"/>
                <w:szCs w:val="18"/>
              </w:rPr>
              <w:t>沥青混合料类型</w:t>
            </w:r>
          </w:p>
        </w:tc>
        <w:tc>
          <w:tcPr>
            <w:tcW w:w="1823" w:type="pct"/>
            <w:vAlign w:val="center"/>
          </w:tcPr>
          <w:p w14:paraId="73F41A29">
            <w:pPr>
              <w:widowControl/>
              <w:adjustRightInd/>
              <w:spacing w:line="240" w:lineRule="auto"/>
              <w:jc w:val="center"/>
              <w:rPr>
                <w:rFonts w:ascii="宋体" w:hAnsi="宋体"/>
                <w:kern w:val="0"/>
                <w:sz w:val="18"/>
                <w:szCs w:val="18"/>
              </w:rPr>
            </w:pPr>
            <w:r>
              <w:rPr>
                <w:rFonts w:ascii="宋体" w:hAnsi="宋体"/>
                <w:kern w:val="0"/>
                <w:sz w:val="18"/>
                <w:szCs w:val="18"/>
              </w:rPr>
              <w:t>丰度系数</w:t>
            </w:r>
          </w:p>
        </w:tc>
      </w:tr>
      <w:tr w14:paraId="11F9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017" w:type="pct"/>
            <w:vAlign w:val="center"/>
          </w:tcPr>
          <w:p w14:paraId="7165DFEE">
            <w:pPr>
              <w:widowControl/>
              <w:adjustRightInd/>
              <w:spacing w:line="240" w:lineRule="auto"/>
              <w:jc w:val="center"/>
              <w:rPr>
                <w:rFonts w:ascii="宋体" w:hAnsi="宋体"/>
                <w:kern w:val="0"/>
                <w:sz w:val="18"/>
                <w:szCs w:val="18"/>
              </w:rPr>
            </w:pPr>
            <w:r>
              <w:rPr>
                <w:rFonts w:ascii="宋体" w:hAnsi="宋体"/>
                <w:kern w:val="0"/>
                <w:sz w:val="18"/>
                <w:szCs w:val="18"/>
              </w:rPr>
              <w:t>1</w:t>
            </w:r>
          </w:p>
        </w:tc>
        <w:tc>
          <w:tcPr>
            <w:tcW w:w="2159" w:type="pct"/>
            <w:vAlign w:val="center"/>
          </w:tcPr>
          <w:p w14:paraId="6C4C9263">
            <w:pPr>
              <w:widowControl/>
              <w:adjustRightInd/>
              <w:spacing w:line="240" w:lineRule="auto"/>
              <w:jc w:val="center"/>
              <w:rPr>
                <w:rFonts w:ascii="宋体" w:hAnsi="宋体"/>
                <w:kern w:val="0"/>
                <w:sz w:val="18"/>
                <w:szCs w:val="18"/>
              </w:rPr>
            </w:pPr>
            <w:r>
              <w:rPr>
                <w:rFonts w:ascii="宋体" w:hAnsi="宋体"/>
                <w:kern w:val="0"/>
                <w:sz w:val="18"/>
                <w:szCs w:val="18"/>
              </w:rPr>
              <w:t>SMA-8</w:t>
            </w:r>
          </w:p>
        </w:tc>
        <w:tc>
          <w:tcPr>
            <w:tcW w:w="1823" w:type="pct"/>
            <w:vAlign w:val="center"/>
          </w:tcPr>
          <w:p w14:paraId="5098D394">
            <w:pPr>
              <w:widowControl/>
              <w:adjustRightInd/>
              <w:spacing w:line="240" w:lineRule="auto"/>
              <w:jc w:val="center"/>
              <w:rPr>
                <w:rFonts w:ascii="宋体" w:hAnsi="宋体"/>
                <w:kern w:val="0"/>
                <w:sz w:val="18"/>
                <w:szCs w:val="18"/>
              </w:rPr>
            </w:pPr>
            <w:r>
              <w:rPr>
                <w:rFonts w:hint="eastAsia" w:ascii="宋体" w:hAnsi="宋体"/>
                <w:kern w:val="0"/>
                <w:sz w:val="18"/>
                <w:szCs w:val="18"/>
              </w:rPr>
              <w:t>≥4.0</w:t>
            </w:r>
          </w:p>
        </w:tc>
      </w:tr>
      <w:tr w14:paraId="0B41F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017" w:type="pct"/>
            <w:vAlign w:val="center"/>
          </w:tcPr>
          <w:p w14:paraId="343EAFE0">
            <w:pPr>
              <w:widowControl/>
              <w:adjustRightInd/>
              <w:spacing w:line="240" w:lineRule="auto"/>
              <w:jc w:val="center"/>
              <w:rPr>
                <w:rFonts w:ascii="宋体" w:hAnsi="宋体"/>
                <w:sz w:val="18"/>
                <w:szCs w:val="18"/>
              </w:rPr>
            </w:pPr>
            <w:r>
              <w:rPr>
                <w:rFonts w:ascii="宋体" w:hAnsi="宋体"/>
                <w:sz w:val="18"/>
                <w:szCs w:val="18"/>
              </w:rPr>
              <w:t>2</w:t>
            </w:r>
          </w:p>
        </w:tc>
        <w:tc>
          <w:tcPr>
            <w:tcW w:w="2159" w:type="pct"/>
            <w:vAlign w:val="center"/>
          </w:tcPr>
          <w:p w14:paraId="63EDFC44">
            <w:pPr>
              <w:widowControl/>
              <w:adjustRightInd/>
              <w:spacing w:line="240" w:lineRule="auto"/>
              <w:jc w:val="center"/>
              <w:rPr>
                <w:rFonts w:ascii="宋体" w:hAnsi="宋体"/>
                <w:b/>
                <w:bCs/>
                <w:kern w:val="0"/>
                <w:sz w:val="18"/>
                <w:szCs w:val="18"/>
              </w:rPr>
            </w:pPr>
            <w:r>
              <w:rPr>
                <w:rFonts w:ascii="宋体" w:hAnsi="宋体"/>
                <w:sz w:val="18"/>
                <w:szCs w:val="18"/>
              </w:rPr>
              <w:t>SMA-5</w:t>
            </w:r>
          </w:p>
        </w:tc>
        <w:tc>
          <w:tcPr>
            <w:tcW w:w="1823" w:type="pct"/>
            <w:vAlign w:val="center"/>
          </w:tcPr>
          <w:p w14:paraId="3BF39904">
            <w:pPr>
              <w:widowControl/>
              <w:adjustRightInd/>
              <w:spacing w:line="240" w:lineRule="auto"/>
              <w:jc w:val="center"/>
              <w:rPr>
                <w:rFonts w:ascii="宋体" w:hAnsi="宋体"/>
                <w:kern w:val="0"/>
                <w:sz w:val="18"/>
                <w:szCs w:val="18"/>
              </w:rPr>
            </w:pPr>
            <w:r>
              <w:rPr>
                <w:rFonts w:hint="eastAsia" w:ascii="宋体" w:hAnsi="宋体"/>
                <w:kern w:val="0"/>
                <w:sz w:val="18"/>
                <w:szCs w:val="18"/>
              </w:rPr>
              <w:t>≥3.9</w:t>
            </w:r>
          </w:p>
        </w:tc>
      </w:tr>
    </w:tbl>
    <w:p w14:paraId="7E030566">
      <w:pPr>
        <w:pStyle w:val="113"/>
        <w:spacing w:before="156" w:after="156"/>
      </w:pPr>
      <w:bookmarkStart w:id="215" w:name="_Toc184997590"/>
      <w:bookmarkStart w:id="216" w:name="_Toc183897527"/>
      <w:r>
        <w:t>配合比设计</w:t>
      </w:r>
      <w:r>
        <w:rPr>
          <w:rFonts w:hint="eastAsia"/>
        </w:rPr>
        <w:t>技术要求</w:t>
      </w:r>
      <w:bookmarkEnd w:id="215"/>
    </w:p>
    <w:p w14:paraId="54F31B01">
      <w:pPr>
        <w:pStyle w:val="73"/>
        <w:numPr>
          <w:ilvl w:val="0"/>
          <w:numId w:val="0"/>
        </w:numPr>
        <w:spacing w:before="156" w:after="156"/>
        <w:ind w:firstLine="420" w:firstLineChars="200"/>
        <w:rPr>
          <w:rFonts w:ascii="宋体" w:hAnsi="宋体" w:eastAsia="宋体"/>
        </w:rPr>
      </w:pPr>
      <w:bookmarkStart w:id="217" w:name="_Hlk185151262"/>
      <w:r>
        <w:rPr>
          <w:rFonts w:hint="eastAsia" w:ascii="宋体" w:hAnsi="宋体" w:eastAsia="宋体"/>
        </w:rPr>
        <w:t>超薄罩面用SMA沥青混合料体积指标除应</w:t>
      </w:r>
      <w:r>
        <w:rPr>
          <w:rFonts w:ascii="宋体" w:hAnsi="宋体" w:eastAsia="宋体"/>
        </w:rPr>
        <w:t>符合表</w:t>
      </w:r>
      <w:r>
        <w:rPr>
          <w:rFonts w:hint="eastAsia" w:ascii="宋体" w:hAnsi="宋体" w:eastAsia="宋体"/>
        </w:rPr>
        <w:t>7</w:t>
      </w:r>
      <w:r>
        <w:rPr>
          <w:rFonts w:ascii="宋体" w:hAnsi="宋体" w:eastAsia="宋体"/>
        </w:rPr>
        <w:t>中的规定外</w:t>
      </w:r>
      <w:r>
        <w:rPr>
          <w:rFonts w:hint="eastAsia" w:ascii="宋体" w:hAnsi="宋体" w:eastAsia="宋体"/>
        </w:rPr>
        <w:t>，其他技术要求应符合J</w:t>
      </w:r>
      <w:r>
        <w:rPr>
          <w:rFonts w:ascii="宋体" w:hAnsi="宋体" w:eastAsia="宋体"/>
        </w:rPr>
        <w:t>TG F40的规定；超薄罩面</w:t>
      </w:r>
      <w:r>
        <w:rPr>
          <w:rFonts w:hint="eastAsia" w:ascii="宋体" w:hAnsi="宋体" w:eastAsia="宋体"/>
        </w:rPr>
        <w:t>用</w:t>
      </w:r>
      <w:r>
        <w:rPr>
          <w:rFonts w:ascii="宋体" w:hAnsi="宋体" w:eastAsia="宋体"/>
        </w:rPr>
        <w:t>沥青混合料</w:t>
      </w:r>
      <w:r>
        <w:rPr>
          <w:rFonts w:hint="eastAsia" w:ascii="宋体" w:hAnsi="宋体" w:eastAsia="宋体"/>
        </w:rPr>
        <w:t>路用</w:t>
      </w:r>
      <w:r>
        <w:rPr>
          <w:rFonts w:ascii="宋体" w:hAnsi="宋体" w:eastAsia="宋体"/>
        </w:rPr>
        <w:t>性能除</w:t>
      </w:r>
      <w:r>
        <w:rPr>
          <w:rFonts w:hint="eastAsia" w:ascii="宋体" w:hAnsi="宋体" w:eastAsia="宋体"/>
        </w:rPr>
        <w:t>应</w:t>
      </w:r>
      <w:r>
        <w:rPr>
          <w:rFonts w:ascii="宋体" w:hAnsi="宋体" w:eastAsia="宋体"/>
        </w:rPr>
        <w:t>符合表</w:t>
      </w:r>
      <w:r>
        <w:rPr>
          <w:rFonts w:hint="eastAsia" w:ascii="宋体" w:hAnsi="宋体" w:eastAsia="宋体"/>
        </w:rPr>
        <w:t>8</w:t>
      </w:r>
      <w:r>
        <w:rPr>
          <w:rFonts w:ascii="宋体" w:hAnsi="宋体" w:eastAsia="宋体"/>
        </w:rPr>
        <w:t>中的规定外，其他技术要求应符合</w:t>
      </w:r>
      <w:r>
        <w:rPr>
          <w:rFonts w:hint="eastAsia" w:ascii="宋体" w:hAnsi="宋体" w:eastAsia="宋体"/>
        </w:rPr>
        <w:t>J</w:t>
      </w:r>
      <w:r>
        <w:rPr>
          <w:rFonts w:ascii="宋体" w:hAnsi="宋体" w:eastAsia="宋体"/>
        </w:rPr>
        <w:t>TG F40的规定。</w:t>
      </w:r>
      <w:bookmarkEnd w:id="216"/>
    </w:p>
    <w:p w14:paraId="0D5FE66F">
      <w:pPr>
        <w:pStyle w:val="120"/>
        <w:spacing w:before="156" w:after="156"/>
      </w:pPr>
      <w:r>
        <w:rPr>
          <w:rFonts w:hint="eastAsia"/>
        </w:rPr>
        <w:t>超薄罩面用SMA</w:t>
      </w:r>
      <w:r>
        <w:t>沥青混合料</w:t>
      </w:r>
      <w:r>
        <w:rPr>
          <w:rFonts w:hint="eastAsia"/>
        </w:rPr>
        <w:t>体积指标</w:t>
      </w:r>
      <w:r>
        <w:t>技术要求与试验方法</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570"/>
        <w:gridCol w:w="3258"/>
        <w:gridCol w:w="2556"/>
      </w:tblGrid>
      <w:tr w14:paraId="7F2F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jc w:val="center"/>
        </w:trPr>
        <w:tc>
          <w:tcPr>
            <w:tcW w:w="1902" w:type="pct"/>
            <w:vAlign w:val="center"/>
          </w:tcPr>
          <w:p w14:paraId="3317E779">
            <w:pPr>
              <w:widowControl/>
              <w:spacing w:line="240" w:lineRule="auto"/>
              <w:jc w:val="center"/>
              <w:rPr>
                <w:rFonts w:ascii="宋体" w:hAnsi="宋体" w:cs="宋体"/>
                <w:kern w:val="0"/>
                <w:sz w:val="18"/>
                <w:szCs w:val="18"/>
              </w:rPr>
            </w:pPr>
            <w:r>
              <w:rPr>
                <w:rFonts w:ascii="宋体" w:hAnsi="宋体" w:cs="宋体"/>
                <w:kern w:val="0"/>
                <w:sz w:val="18"/>
                <w:szCs w:val="18"/>
              </w:rPr>
              <w:t>试验项目</w:t>
            </w:r>
          </w:p>
        </w:tc>
        <w:tc>
          <w:tcPr>
            <w:tcW w:w="1736" w:type="pct"/>
            <w:vAlign w:val="center"/>
          </w:tcPr>
          <w:p w14:paraId="3717DACF">
            <w:pPr>
              <w:widowControl/>
              <w:spacing w:line="240" w:lineRule="auto"/>
              <w:jc w:val="center"/>
              <w:rPr>
                <w:rFonts w:ascii="宋体" w:hAnsi="宋体" w:cs="宋体"/>
                <w:kern w:val="0"/>
                <w:sz w:val="18"/>
                <w:szCs w:val="18"/>
              </w:rPr>
            </w:pPr>
            <w:r>
              <w:rPr>
                <w:rFonts w:hint="eastAsia" w:ascii="宋体" w:hAnsi="宋体" w:cs="宋体"/>
                <w:kern w:val="0"/>
                <w:sz w:val="18"/>
                <w:szCs w:val="18"/>
              </w:rPr>
              <w:t>技术要求</w:t>
            </w:r>
          </w:p>
        </w:tc>
        <w:tc>
          <w:tcPr>
            <w:tcW w:w="1362" w:type="pct"/>
            <w:vAlign w:val="center"/>
          </w:tcPr>
          <w:p w14:paraId="2932067A">
            <w:pPr>
              <w:widowControl/>
              <w:spacing w:line="240" w:lineRule="auto"/>
              <w:jc w:val="center"/>
              <w:rPr>
                <w:rFonts w:ascii="宋体" w:hAnsi="宋体" w:cs="宋体"/>
                <w:kern w:val="0"/>
                <w:sz w:val="18"/>
                <w:szCs w:val="18"/>
              </w:rPr>
            </w:pPr>
            <w:r>
              <w:rPr>
                <w:rFonts w:ascii="宋体" w:hAnsi="宋体" w:cs="宋体"/>
                <w:kern w:val="0"/>
                <w:sz w:val="18"/>
                <w:szCs w:val="18"/>
              </w:rPr>
              <w:t>试验方法</w:t>
            </w:r>
          </w:p>
        </w:tc>
      </w:tr>
      <w:tr w14:paraId="03B2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902" w:type="pct"/>
            <w:vAlign w:val="center"/>
          </w:tcPr>
          <w:p w14:paraId="5065FD24">
            <w:pPr>
              <w:widowControl/>
              <w:spacing w:line="240" w:lineRule="auto"/>
              <w:jc w:val="center"/>
              <w:rPr>
                <w:rFonts w:ascii="Times New Roman" w:hAnsi="Times New Roman"/>
                <w:kern w:val="0"/>
                <w:sz w:val="18"/>
                <w:szCs w:val="18"/>
              </w:rPr>
            </w:pPr>
            <w:r>
              <w:rPr>
                <w:rFonts w:ascii="Times New Roman" w:hAnsi="Times New Roman"/>
                <w:kern w:val="0"/>
                <w:sz w:val="18"/>
                <w:szCs w:val="18"/>
              </w:rPr>
              <w:t>马歇尔击实次数（双面）/（次）</w:t>
            </w:r>
          </w:p>
        </w:tc>
        <w:tc>
          <w:tcPr>
            <w:tcW w:w="1736" w:type="pct"/>
            <w:vAlign w:val="center"/>
          </w:tcPr>
          <w:p w14:paraId="73AD3434">
            <w:pPr>
              <w:widowControl/>
              <w:spacing w:line="240" w:lineRule="auto"/>
              <w:jc w:val="center"/>
              <w:rPr>
                <w:rFonts w:ascii="宋体" w:hAnsi="宋体" w:cs="宋体"/>
                <w:kern w:val="0"/>
                <w:sz w:val="18"/>
                <w:szCs w:val="18"/>
              </w:rPr>
            </w:pPr>
            <w:r>
              <w:rPr>
                <w:rFonts w:hint="eastAsia" w:ascii="宋体" w:hAnsi="宋体" w:cs="宋体"/>
                <w:kern w:val="0"/>
                <w:sz w:val="18"/>
                <w:szCs w:val="18"/>
              </w:rPr>
              <w:t>7</w:t>
            </w:r>
            <w:r>
              <w:rPr>
                <w:rFonts w:ascii="宋体" w:hAnsi="宋体" w:cs="宋体"/>
                <w:kern w:val="0"/>
                <w:sz w:val="18"/>
                <w:szCs w:val="18"/>
              </w:rPr>
              <w:t>5</w:t>
            </w:r>
          </w:p>
        </w:tc>
        <w:tc>
          <w:tcPr>
            <w:tcW w:w="1362" w:type="pct"/>
            <w:vAlign w:val="center"/>
          </w:tcPr>
          <w:p w14:paraId="56B89ED5">
            <w:pPr>
              <w:widowControl/>
              <w:spacing w:line="240" w:lineRule="auto"/>
              <w:jc w:val="center"/>
              <w:rPr>
                <w:rFonts w:ascii="宋体" w:hAnsi="宋体" w:cs="宋体"/>
                <w:kern w:val="0"/>
                <w:sz w:val="18"/>
                <w:szCs w:val="18"/>
              </w:rPr>
            </w:pPr>
            <w:r>
              <w:rPr>
                <w:rFonts w:ascii="宋体" w:hAnsi="宋体"/>
                <w:sz w:val="18"/>
                <w:szCs w:val="18"/>
              </w:rPr>
              <w:t>JTG E20</w:t>
            </w:r>
            <w:r>
              <w:rPr>
                <w:rFonts w:hint="eastAsia" w:ascii="宋体" w:hAnsi="宋体"/>
                <w:sz w:val="18"/>
                <w:szCs w:val="18"/>
              </w:rPr>
              <w:t>—2011中的</w:t>
            </w:r>
            <w:r>
              <w:rPr>
                <w:rFonts w:ascii="宋体" w:hAnsi="宋体" w:cs="宋体"/>
                <w:kern w:val="0"/>
                <w:sz w:val="18"/>
                <w:szCs w:val="18"/>
              </w:rPr>
              <w:t>T 0702</w:t>
            </w:r>
          </w:p>
        </w:tc>
      </w:tr>
      <w:tr w14:paraId="0FCE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902" w:type="pct"/>
            <w:vAlign w:val="center"/>
          </w:tcPr>
          <w:p w14:paraId="6758BC2F">
            <w:pPr>
              <w:widowControl/>
              <w:spacing w:line="240" w:lineRule="auto"/>
              <w:jc w:val="center"/>
              <w:rPr>
                <w:rFonts w:ascii="Times New Roman" w:hAnsi="Times New Roman"/>
                <w:kern w:val="0"/>
                <w:sz w:val="18"/>
                <w:szCs w:val="18"/>
              </w:rPr>
            </w:pPr>
            <w:r>
              <w:rPr>
                <w:rFonts w:ascii="Times New Roman" w:hAnsi="Times New Roman"/>
                <w:kern w:val="0"/>
                <w:sz w:val="18"/>
                <w:szCs w:val="18"/>
              </w:rPr>
              <w:t>马歇尔稳定度MS/（kN）</w:t>
            </w:r>
          </w:p>
        </w:tc>
        <w:tc>
          <w:tcPr>
            <w:tcW w:w="1736" w:type="pct"/>
            <w:vAlign w:val="center"/>
          </w:tcPr>
          <w:p w14:paraId="52383ED9">
            <w:pPr>
              <w:widowControl/>
              <w:spacing w:line="240" w:lineRule="auto"/>
              <w:jc w:val="center"/>
              <w:rPr>
                <w:rFonts w:ascii="宋体" w:hAnsi="宋体" w:cs="宋体"/>
                <w:kern w:val="0"/>
                <w:sz w:val="18"/>
                <w:szCs w:val="18"/>
              </w:rPr>
            </w:pPr>
            <w:r>
              <w:rPr>
                <w:rFonts w:hint="eastAsia" w:ascii="宋体" w:hAnsi="宋体" w:cs="宋体"/>
                <w:kern w:val="0"/>
                <w:sz w:val="18"/>
                <w:szCs w:val="18"/>
              </w:rPr>
              <w:t>≥8</w:t>
            </w:r>
          </w:p>
        </w:tc>
        <w:tc>
          <w:tcPr>
            <w:tcW w:w="1362" w:type="pct"/>
            <w:vAlign w:val="center"/>
          </w:tcPr>
          <w:p w14:paraId="52CFFAA0">
            <w:pPr>
              <w:widowControl/>
              <w:spacing w:line="240" w:lineRule="auto"/>
              <w:jc w:val="center"/>
              <w:rPr>
                <w:rFonts w:ascii="宋体" w:hAnsi="宋体" w:cs="宋体"/>
                <w:kern w:val="0"/>
                <w:sz w:val="18"/>
                <w:szCs w:val="18"/>
              </w:rPr>
            </w:pPr>
            <w:r>
              <w:rPr>
                <w:rFonts w:ascii="宋体" w:hAnsi="宋体"/>
                <w:sz w:val="18"/>
                <w:szCs w:val="18"/>
              </w:rPr>
              <w:t>JTG E20</w:t>
            </w:r>
            <w:r>
              <w:rPr>
                <w:rFonts w:hint="eastAsia" w:ascii="宋体" w:hAnsi="宋体"/>
                <w:sz w:val="18"/>
                <w:szCs w:val="18"/>
              </w:rPr>
              <w:t>—2011中的</w:t>
            </w:r>
            <w:r>
              <w:rPr>
                <w:rFonts w:ascii="宋体" w:hAnsi="宋体" w:cs="宋体"/>
                <w:kern w:val="0"/>
                <w:sz w:val="18"/>
                <w:szCs w:val="18"/>
              </w:rPr>
              <w:t>T 0709</w:t>
            </w:r>
          </w:p>
        </w:tc>
      </w:tr>
      <w:tr w14:paraId="29B38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902" w:type="pct"/>
            <w:vAlign w:val="center"/>
          </w:tcPr>
          <w:p w14:paraId="05CD45E4">
            <w:pPr>
              <w:widowControl/>
              <w:spacing w:line="240" w:lineRule="auto"/>
              <w:jc w:val="center"/>
              <w:rPr>
                <w:rFonts w:ascii="Times New Roman" w:hAnsi="Times New Roman"/>
                <w:kern w:val="0"/>
                <w:sz w:val="18"/>
                <w:szCs w:val="18"/>
              </w:rPr>
            </w:pPr>
            <w:r>
              <w:rPr>
                <w:rFonts w:ascii="Times New Roman" w:hAnsi="Times New Roman"/>
                <w:kern w:val="0"/>
                <w:sz w:val="18"/>
                <w:szCs w:val="18"/>
              </w:rPr>
              <w:t>矿料间隙率VMA/（%）</w:t>
            </w:r>
          </w:p>
        </w:tc>
        <w:tc>
          <w:tcPr>
            <w:tcW w:w="1736" w:type="pct"/>
            <w:vAlign w:val="center"/>
          </w:tcPr>
          <w:p w14:paraId="2EFEDE5F">
            <w:pPr>
              <w:widowControl/>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1</w:t>
            </w:r>
            <w:r>
              <w:rPr>
                <w:rFonts w:hint="eastAsia" w:ascii="宋体" w:hAnsi="宋体" w:cs="宋体"/>
                <w:kern w:val="0"/>
                <w:sz w:val="18"/>
                <w:szCs w:val="18"/>
              </w:rPr>
              <w:t>6.5</w:t>
            </w:r>
          </w:p>
        </w:tc>
        <w:tc>
          <w:tcPr>
            <w:tcW w:w="1362" w:type="pct"/>
            <w:vAlign w:val="center"/>
          </w:tcPr>
          <w:p w14:paraId="02A5B23D">
            <w:pPr>
              <w:widowControl/>
              <w:spacing w:line="240" w:lineRule="auto"/>
              <w:jc w:val="center"/>
              <w:rPr>
                <w:rFonts w:ascii="宋体" w:hAnsi="宋体" w:cs="宋体"/>
                <w:kern w:val="0"/>
                <w:sz w:val="18"/>
                <w:szCs w:val="18"/>
              </w:rPr>
            </w:pPr>
            <w:r>
              <w:rPr>
                <w:rFonts w:ascii="宋体" w:hAnsi="宋体"/>
                <w:sz w:val="18"/>
                <w:szCs w:val="18"/>
              </w:rPr>
              <w:t>JTG E20</w:t>
            </w:r>
            <w:r>
              <w:rPr>
                <w:rFonts w:hint="eastAsia" w:ascii="宋体" w:hAnsi="宋体"/>
                <w:sz w:val="18"/>
                <w:szCs w:val="18"/>
              </w:rPr>
              <w:t>—2011中的</w:t>
            </w:r>
            <w:r>
              <w:rPr>
                <w:rFonts w:ascii="宋体" w:hAnsi="宋体" w:cs="宋体"/>
                <w:kern w:val="0"/>
                <w:sz w:val="18"/>
                <w:szCs w:val="18"/>
              </w:rPr>
              <w:t>T 0705</w:t>
            </w:r>
          </w:p>
        </w:tc>
      </w:tr>
    </w:tbl>
    <w:p w14:paraId="68080A4C">
      <w:pPr>
        <w:pStyle w:val="120"/>
        <w:spacing w:before="156" w:after="156"/>
      </w:pPr>
      <w:r>
        <w:rPr>
          <w:rFonts w:hint="eastAsia"/>
        </w:rPr>
        <w:t>超薄罩面用</w:t>
      </w:r>
      <w:r>
        <w:t>沥青混合料</w:t>
      </w:r>
      <w:r>
        <w:rPr>
          <w:rFonts w:hint="eastAsia"/>
        </w:rPr>
        <w:t>路用性能</w:t>
      </w:r>
      <w:r>
        <w:t>技术要求与试验方法</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695"/>
        <w:gridCol w:w="3221"/>
        <w:gridCol w:w="2468"/>
      </w:tblGrid>
      <w:tr w14:paraId="366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04" w:hRule="atLeast"/>
          <w:jc w:val="center"/>
        </w:trPr>
        <w:tc>
          <w:tcPr>
            <w:tcW w:w="1969" w:type="pct"/>
            <w:vAlign w:val="center"/>
          </w:tcPr>
          <w:p w14:paraId="178004FE">
            <w:pPr>
              <w:widowControl/>
              <w:spacing w:line="240" w:lineRule="auto"/>
              <w:jc w:val="center"/>
              <w:rPr>
                <w:rFonts w:ascii="宋体" w:hAnsi="宋体" w:cs="宋体"/>
                <w:kern w:val="0"/>
                <w:sz w:val="18"/>
                <w:szCs w:val="18"/>
              </w:rPr>
            </w:pPr>
            <w:r>
              <w:rPr>
                <w:rFonts w:ascii="宋体" w:hAnsi="宋体" w:cs="宋体"/>
                <w:kern w:val="0"/>
                <w:sz w:val="18"/>
                <w:szCs w:val="18"/>
              </w:rPr>
              <w:t>试验项目</w:t>
            </w:r>
          </w:p>
        </w:tc>
        <w:tc>
          <w:tcPr>
            <w:tcW w:w="1716" w:type="pct"/>
            <w:vAlign w:val="center"/>
          </w:tcPr>
          <w:p w14:paraId="254C2FA9">
            <w:pPr>
              <w:widowControl/>
              <w:spacing w:line="240" w:lineRule="auto"/>
              <w:jc w:val="center"/>
              <w:rPr>
                <w:rFonts w:ascii="宋体" w:hAnsi="宋体" w:cs="宋体"/>
                <w:kern w:val="0"/>
                <w:sz w:val="18"/>
                <w:szCs w:val="18"/>
              </w:rPr>
            </w:pPr>
            <w:r>
              <w:rPr>
                <w:rFonts w:hint="eastAsia" w:ascii="宋体" w:hAnsi="宋体" w:cs="宋体"/>
                <w:kern w:val="0"/>
                <w:sz w:val="18"/>
                <w:szCs w:val="18"/>
              </w:rPr>
              <w:t>技术要求</w:t>
            </w:r>
          </w:p>
        </w:tc>
        <w:tc>
          <w:tcPr>
            <w:tcW w:w="1315" w:type="pct"/>
            <w:vAlign w:val="center"/>
          </w:tcPr>
          <w:p w14:paraId="76CD2063">
            <w:pPr>
              <w:widowControl/>
              <w:spacing w:line="240" w:lineRule="auto"/>
              <w:jc w:val="center"/>
              <w:rPr>
                <w:rFonts w:ascii="宋体" w:hAnsi="宋体" w:cs="宋体"/>
                <w:kern w:val="0"/>
                <w:sz w:val="18"/>
                <w:szCs w:val="18"/>
              </w:rPr>
            </w:pPr>
            <w:r>
              <w:rPr>
                <w:rFonts w:ascii="宋体" w:hAnsi="宋体" w:cs="宋体"/>
                <w:kern w:val="0"/>
                <w:sz w:val="18"/>
                <w:szCs w:val="18"/>
              </w:rPr>
              <w:t>试验方法</w:t>
            </w:r>
          </w:p>
        </w:tc>
      </w:tr>
      <w:tr w14:paraId="4ADBB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969" w:type="pct"/>
            <w:vAlign w:val="center"/>
          </w:tcPr>
          <w:p w14:paraId="2B467C87">
            <w:pPr>
              <w:widowControl/>
              <w:spacing w:line="240" w:lineRule="auto"/>
              <w:jc w:val="center"/>
              <w:rPr>
                <w:rFonts w:ascii="Times New Roman" w:hAnsi="Times New Roman"/>
                <w:kern w:val="0"/>
                <w:sz w:val="18"/>
                <w:szCs w:val="18"/>
              </w:rPr>
            </w:pPr>
            <w:r>
              <w:rPr>
                <w:rFonts w:ascii="Times New Roman" w:hAnsi="Times New Roman"/>
                <w:kern w:val="0"/>
                <w:sz w:val="18"/>
                <w:szCs w:val="18"/>
              </w:rPr>
              <w:t>沥青析漏损失/（%）</w:t>
            </w:r>
          </w:p>
        </w:tc>
        <w:tc>
          <w:tcPr>
            <w:tcW w:w="1716" w:type="pct"/>
            <w:vAlign w:val="center"/>
          </w:tcPr>
          <w:p w14:paraId="4A241677">
            <w:pPr>
              <w:widowControl/>
              <w:spacing w:line="240" w:lineRule="auto"/>
              <w:jc w:val="center"/>
              <w:rPr>
                <w:rFonts w:ascii="宋体" w:hAnsi="宋体" w:cs="宋体"/>
                <w:kern w:val="0"/>
                <w:sz w:val="18"/>
                <w:szCs w:val="18"/>
              </w:rPr>
            </w:pPr>
            <w:r>
              <w:rPr>
                <w:rFonts w:hint="eastAsia" w:ascii="宋体" w:hAnsi="宋体" w:cs="宋体"/>
                <w:kern w:val="0"/>
                <w:sz w:val="18"/>
                <w:szCs w:val="18"/>
              </w:rPr>
              <w:t>≤0</w:t>
            </w:r>
            <w:r>
              <w:rPr>
                <w:rFonts w:ascii="宋体" w:hAnsi="宋体" w:cs="宋体"/>
                <w:kern w:val="0"/>
                <w:sz w:val="18"/>
                <w:szCs w:val="18"/>
              </w:rPr>
              <w:t>.1</w:t>
            </w:r>
          </w:p>
        </w:tc>
        <w:tc>
          <w:tcPr>
            <w:tcW w:w="1315" w:type="pct"/>
            <w:vAlign w:val="center"/>
          </w:tcPr>
          <w:p w14:paraId="657EC1BF">
            <w:pPr>
              <w:widowControl/>
              <w:spacing w:line="240" w:lineRule="auto"/>
              <w:jc w:val="center"/>
              <w:rPr>
                <w:rFonts w:ascii="宋体" w:hAnsi="宋体" w:cs="宋体"/>
                <w:kern w:val="0"/>
                <w:sz w:val="18"/>
                <w:szCs w:val="18"/>
              </w:rPr>
            </w:pPr>
            <w:r>
              <w:rPr>
                <w:rFonts w:ascii="宋体" w:hAnsi="宋体"/>
                <w:sz w:val="18"/>
                <w:szCs w:val="18"/>
              </w:rPr>
              <w:t>JTG E20</w:t>
            </w:r>
            <w:r>
              <w:rPr>
                <w:rFonts w:hint="eastAsia" w:ascii="宋体" w:hAnsi="宋体"/>
                <w:sz w:val="18"/>
                <w:szCs w:val="18"/>
              </w:rPr>
              <w:t>—2011中的</w:t>
            </w:r>
            <w:r>
              <w:rPr>
                <w:rFonts w:ascii="宋体" w:hAnsi="宋体" w:cs="宋体"/>
                <w:kern w:val="0"/>
                <w:sz w:val="18"/>
                <w:szCs w:val="18"/>
              </w:rPr>
              <w:t>T 0732</w:t>
            </w:r>
          </w:p>
        </w:tc>
      </w:tr>
      <w:tr w14:paraId="1D378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969" w:type="pct"/>
            <w:vAlign w:val="center"/>
          </w:tcPr>
          <w:p w14:paraId="6A68E3D4">
            <w:pPr>
              <w:widowControl/>
              <w:spacing w:line="240" w:lineRule="auto"/>
              <w:jc w:val="center"/>
              <w:rPr>
                <w:rFonts w:ascii="Times New Roman" w:hAnsi="Times New Roman"/>
                <w:kern w:val="0"/>
                <w:sz w:val="18"/>
                <w:szCs w:val="18"/>
              </w:rPr>
            </w:pPr>
            <w:r>
              <w:rPr>
                <w:rFonts w:ascii="Times New Roman" w:hAnsi="Times New Roman"/>
                <w:kern w:val="0"/>
                <w:sz w:val="18"/>
                <w:szCs w:val="18"/>
              </w:rPr>
              <w:t>飞散试验的沥青混合料损失（20℃）/（%）</w:t>
            </w:r>
          </w:p>
        </w:tc>
        <w:tc>
          <w:tcPr>
            <w:tcW w:w="1716" w:type="pct"/>
            <w:vAlign w:val="center"/>
          </w:tcPr>
          <w:p w14:paraId="54F924EA">
            <w:pPr>
              <w:widowControl/>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5</w:t>
            </w:r>
          </w:p>
        </w:tc>
        <w:tc>
          <w:tcPr>
            <w:tcW w:w="1315" w:type="pct"/>
            <w:vAlign w:val="center"/>
          </w:tcPr>
          <w:p w14:paraId="750A0A3C">
            <w:pPr>
              <w:widowControl/>
              <w:spacing w:line="240" w:lineRule="auto"/>
              <w:jc w:val="center"/>
              <w:rPr>
                <w:rFonts w:ascii="宋体" w:hAnsi="宋体" w:cs="宋体"/>
                <w:kern w:val="0"/>
                <w:sz w:val="18"/>
                <w:szCs w:val="18"/>
              </w:rPr>
            </w:pPr>
            <w:r>
              <w:rPr>
                <w:rFonts w:ascii="宋体" w:hAnsi="宋体"/>
                <w:sz w:val="18"/>
                <w:szCs w:val="18"/>
              </w:rPr>
              <w:t>JTG E20</w:t>
            </w:r>
            <w:r>
              <w:rPr>
                <w:rFonts w:hint="eastAsia" w:ascii="宋体" w:hAnsi="宋体"/>
                <w:sz w:val="18"/>
                <w:szCs w:val="18"/>
              </w:rPr>
              <w:t>—2011中的</w:t>
            </w:r>
            <w:r>
              <w:rPr>
                <w:rFonts w:ascii="宋体" w:hAnsi="宋体" w:cs="宋体"/>
                <w:kern w:val="0"/>
                <w:sz w:val="18"/>
                <w:szCs w:val="18"/>
              </w:rPr>
              <w:t>T 0733</w:t>
            </w:r>
          </w:p>
        </w:tc>
      </w:tr>
    </w:tbl>
    <w:p w14:paraId="7689B9C8">
      <w:pPr>
        <w:pStyle w:val="64"/>
        <w:spacing w:before="156" w:beforeLines="50" w:after="156" w:afterLines="50"/>
        <w:ind w:firstLine="0" w:firstLineChars="0"/>
        <w:jc w:val="center"/>
        <w:rPr>
          <w:rFonts w:ascii="黑体" w:eastAsia="黑体"/>
        </w:rPr>
      </w:pPr>
      <w:bookmarkStart w:id="218" w:name="_Toc176167855"/>
      <w:bookmarkStart w:id="219" w:name="_Toc183897615"/>
      <w:bookmarkStart w:id="220" w:name="_Toc183897528"/>
      <w:bookmarkStart w:id="221" w:name="_Toc183898453"/>
      <w:bookmarkStart w:id="222" w:name="_Toc183898586"/>
      <w:bookmarkStart w:id="223" w:name="_Toc183898300"/>
      <w:bookmarkStart w:id="224" w:name="_Toc184997591"/>
      <w:r>
        <w:rPr>
          <w:rFonts w:hint="eastAsia" w:ascii="黑体" w:eastAsia="黑体"/>
        </w:rPr>
        <w:t>表8 超薄罩面用沥青混合料路用性能技术要求与试验方法（续）</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695"/>
        <w:gridCol w:w="3221"/>
        <w:gridCol w:w="2468"/>
      </w:tblGrid>
      <w:tr w14:paraId="09BA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969" w:type="pct"/>
            <w:tcBorders>
              <w:bottom w:val="nil"/>
            </w:tcBorders>
            <w:vAlign w:val="center"/>
          </w:tcPr>
          <w:p w14:paraId="1CA91C67">
            <w:pPr>
              <w:widowControl/>
              <w:spacing w:line="240" w:lineRule="auto"/>
              <w:jc w:val="center"/>
              <w:rPr>
                <w:rFonts w:ascii="Times New Roman" w:hAnsi="Times New Roman"/>
                <w:kern w:val="0"/>
                <w:sz w:val="18"/>
                <w:szCs w:val="18"/>
              </w:rPr>
            </w:pPr>
            <w:r>
              <w:rPr>
                <w:rFonts w:ascii="Times New Roman" w:hAnsi="Times New Roman"/>
                <w:kern w:val="0"/>
                <w:sz w:val="18"/>
                <w:szCs w:val="18"/>
              </w:rPr>
              <w:t>车辙动稳定度/（次/mm）</w:t>
            </w:r>
          </w:p>
        </w:tc>
        <w:tc>
          <w:tcPr>
            <w:tcW w:w="1716" w:type="pct"/>
            <w:tcBorders>
              <w:bottom w:val="nil"/>
            </w:tcBorders>
            <w:vAlign w:val="center"/>
          </w:tcPr>
          <w:p w14:paraId="1EB360E1">
            <w:pPr>
              <w:widowControl/>
              <w:spacing w:line="240" w:lineRule="auto"/>
              <w:jc w:val="center"/>
              <w:rPr>
                <w:rFonts w:ascii="宋体" w:hAnsi="宋体" w:cs="宋体"/>
                <w:kern w:val="0"/>
                <w:sz w:val="18"/>
                <w:szCs w:val="18"/>
              </w:rPr>
            </w:pPr>
            <w:r>
              <w:rPr>
                <w:rFonts w:hint="eastAsia" w:ascii="宋体" w:hAnsi="宋体" w:cs="宋体"/>
                <w:kern w:val="0"/>
                <w:sz w:val="18"/>
                <w:szCs w:val="18"/>
              </w:rPr>
              <w:t>≥6</w:t>
            </w:r>
            <w:r>
              <w:rPr>
                <w:rFonts w:ascii="宋体" w:hAnsi="宋体" w:cs="宋体"/>
                <w:kern w:val="0"/>
                <w:sz w:val="18"/>
                <w:szCs w:val="18"/>
              </w:rPr>
              <w:t>000</w:t>
            </w:r>
          </w:p>
        </w:tc>
        <w:tc>
          <w:tcPr>
            <w:tcW w:w="1315" w:type="pct"/>
            <w:tcBorders>
              <w:bottom w:val="nil"/>
            </w:tcBorders>
            <w:vAlign w:val="center"/>
          </w:tcPr>
          <w:p w14:paraId="629859D3">
            <w:pPr>
              <w:widowControl/>
              <w:spacing w:line="240" w:lineRule="auto"/>
              <w:jc w:val="center"/>
              <w:rPr>
                <w:rFonts w:ascii="宋体" w:hAnsi="宋体" w:cs="宋体"/>
                <w:kern w:val="0"/>
                <w:sz w:val="18"/>
                <w:szCs w:val="18"/>
              </w:rPr>
            </w:pPr>
            <w:r>
              <w:rPr>
                <w:rFonts w:ascii="宋体" w:hAnsi="宋体"/>
                <w:sz w:val="18"/>
                <w:szCs w:val="18"/>
              </w:rPr>
              <w:t>JTG E20</w:t>
            </w:r>
            <w:r>
              <w:rPr>
                <w:rFonts w:hint="eastAsia" w:ascii="宋体" w:hAnsi="宋体"/>
                <w:sz w:val="18"/>
                <w:szCs w:val="18"/>
              </w:rPr>
              <w:t>—2011中的</w:t>
            </w:r>
            <w:r>
              <w:rPr>
                <w:rFonts w:ascii="宋体" w:hAnsi="宋体" w:cs="宋体"/>
                <w:kern w:val="0"/>
                <w:sz w:val="18"/>
                <w:szCs w:val="18"/>
              </w:rPr>
              <w:t>T 0719</w:t>
            </w:r>
          </w:p>
        </w:tc>
      </w:tr>
      <w:tr w14:paraId="37DC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969" w:type="pct"/>
            <w:tcBorders>
              <w:top w:val="single" w:color="auto" w:sz="4" w:space="0"/>
            </w:tcBorders>
            <w:vAlign w:val="center"/>
          </w:tcPr>
          <w:p w14:paraId="5F9ADEBC">
            <w:pPr>
              <w:widowControl/>
              <w:spacing w:line="240" w:lineRule="auto"/>
              <w:jc w:val="center"/>
              <w:rPr>
                <w:rFonts w:ascii="Times New Roman" w:hAnsi="Times New Roman"/>
                <w:kern w:val="0"/>
                <w:sz w:val="18"/>
                <w:szCs w:val="18"/>
              </w:rPr>
            </w:pPr>
            <w:r>
              <w:rPr>
                <w:rFonts w:hint="eastAsia" w:ascii="Times New Roman" w:hAnsi="Times New Roman"/>
                <w:kern w:val="0"/>
                <w:sz w:val="18"/>
                <w:szCs w:val="18"/>
              </w:rPr>
              <w:t>低温弯曲试验破坏应变/（</w:t>
            </w:r>
            <w:r>
              <w:rPr>
                <w:rFonts w:ascii="Times New Roman" w:hAnsi="Times New Roman"/>
                <w:kern w:val="0"/>
                <w:sz w:val="18"/>
                <w:szCs w:val="18"/>
              </w:rPr>
              <w:t>με</w:t>
            </w:r>
            <w:r>
              <w:rPr>
                <w:rFonts w:hint="eastAsia" w:ascii="Times New Roman" w:hAnsi="Times New Roman"/>
                <w:kern w:val="0"/>
                <w:sz w:val="18"/>
                <w:szCs w:val="18"/>
              </w:rPr>
              <w:t>）</w:t>
            </w:r>
          </w:p>
        </w:tc>
        <w:tc>
          <w:tcPr>
            <w:tcW w:w="1716" w:type="pct"/>
            <w:tcBorders>
              <w:top w:val="single" w:color="auto" w:sz="4" w:space="0"/>
            </w:tcBorders>
            <w:vAlign w:val="center"/>
          </w:tcPr>
          <w:p w14:paraId="535FC337">
            <w:pPr>
              <w:widowControl/>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cs="宋体"/>
                <w:kern w:val="0"/>
                <w:sz w:val="18"/>
                <w:szCs w:val="18"/>
              </w:rPr>
              <w:t>2800</w:t>
            </w:r>
          </w:p>
        </w:tc>
        <w:tc>
          <w:tcPr>
            <w:tcW w:w="1315" w:type="pct"/>
            <w:tcBorders>
              <w:top w:val="single" w:color="auto" w:sz="4" w:space="0"/>
            </w:tcBorders>
            <w:vAlign w:val="center"/>
          </w:tcPr>
          <w:p w14:paraId="1BD0E48F">
            <w:pPr>
              <w:widowControl/>
              <w:spacing w:line="240" w:lineRule="auto"/>
              <w:jc w:val="center"/>
              <w:rPr>
                <w:rFonts w:ascii="宋体" w:hAnsi="宋体" w:cs="宋体"/>
                <w:kern w:val="0"/>
                <w:sz w:val="18"/>
                <w:szCs w:val="18"/>
              </w:rPr>
            </w:pPr>
            <w:r>
              <w:rPr>
                <w:rFonts w:ascii="宋体" w:hAnsi="宋体"/>
                <w:sz w:val="18"/>
                <w:szCs w:val="18"/>
              </w:rPr>
              <w:t>JTG E20</w:t>
            </w:r>
            <w:r>
              <w:rPr>
                <w:rFonts w:hint="eastAsia" w:ascii="宋体" w:hAnsi="宋体"/>
                <w:sz w:val="18"/>
                <w:szCs w:val="18"/>
              </w:rPr>
              <w:t>—2011中的</w:t>
            </w:r>
            <w:r>
              <w:rPr>
                <w:rFonts w:ascii="宋体" w:hAnsi="宋体" w:cs="宋体"/>
                <w:kern w:val="0"/>
                <w:sz w:val="18"/>
                <w:szCs w:val="18"/>
              </w:rPr>
              <w:t>T 0715</w:t>
            </w:r>
          </w:p>
        </w:tc>
      </w:tr>
      <w:tr w14:paraId="732D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969" w:type="pct"/>
            <w:vAlign w:val="center"/>
          </w:tcPr>
          <w:p w14:paraId="32306EBD">
            <w:pPr>
              <w:widowControl/>
              <w:spacing w:line="240" w:lineRule="auto"/>
              <w:jc w:val="center"/>
              <w:rPr>
                <w:rFonts w:ascii="Times New Roman" w:hAnsi="Times New Roman"/>
                <w:kern w:val="0"/>
                <w:sz w:val="18"/>
                <w:szCs w:val="18"/>
              </w:rPr>
            </w:pPr>
            <w:r>
              <w:rPr>
                <w:rFonts w:ascii="Times New Roman" w:hAnsi="Times New Roman"/>
                <w:kern w:val="0"/>
                <w:sz w:val="18"/>
                <w:szCs w:val="18"/>
              </w:rPr>
              <w:t>OT试验，试件破坏时的加载次数/（次）</w:t>
            </w:r>
          </w:p>
        </w:tc>
        <w:tc>
          <w:tcPr>
            <w:tcW w:w="1716" w:type="pct"/>
            <w:vAlign w:val="center"/>
          </w:tcPr>
          <w:p w14:paraId="071509ED">
            <w:pPr>
              <w:widowControl/>
              <w:spacing w:line="240" w:lineRule="auto"/>
              <w:jc w:val="center"/>
              <w:rPr>
                <w:rFonts w:ascii="宋体" w:hAnsi="宋体" w:cs="宋体"/>
                <w:kern w:val="0"/>
                <w:sz w:val="18"/>
                <w:szCs w:val="18"/>
              </w:rPr>
            </w:pPr>
            <w:r>
              <w:rPr>
                <w:rFonts w:hint="eastAsia" w:ascii="宋体" w:hAnsi="宋体" w:cs="宋体"/>
                <w:kern w:val="0"/>
                <w:sz w:val="18"/>
                <w:szCs w:val="18"/>
              </w:rPr>
              <w:t>≥</w:t>
            </w:r>
            <w:r>
              <w:rPr>
                <w:rFonts w:ascii="宋体" w:hAnsi="宋体"/>
                <w:sz w:val="18"/>
                <w:szCs w:val="18"/>
              </w:rPr>
              <w:t>300</w:t>
            </w:r>
          </w:p>
        </w:tc>
        <w:tc>
          <w:tcPr>
            <w:tcW w:w="1315" w:type="pct"/>
            <w:vAlign w:val="center"/>
          </w:tcPr>
          <w:p w14:paraId="4D2A8497">
            <w:pPr>
              <w:widowControl/>
              <w:spacing w:line="240" w:lineRule="auto"/>
              <w:jc w:val="center"/>
              <w:rPr>
                <w:rFonts w:ascii="宋体" w:hAnsi="宋体" w:cs="宋体"/>
                <w:kern w:val="0"/>
                <w:sz w:val="18"/>
                <w:szCs w:val="18"/>
              </w:rPr>
            </w:pPr>
            <w:r>
              <w:rPr>
                <w:rFonts w:hint="eastAsia" w:ascii="宋体" w:hAnsi="宋体" w:cs="宋体"/>
                <w:kern w:val="0"/>
                <w:sz w:val="18"/>
                <w:szCs w:val="18"/>
              </w:rPr>
              <w:t>附录</w:t>
            </w:r>
            <w:r>
              <w:rPr>
                <w:rFonts w:ascii="宋体" w:hAnsi="宋体" w:cs="宋体"/>
                <w:kern w:val="0"/>
                <w:sz w:val="18"/>
                <w:szCs w:val="18"/>
              </w:rPr>
              <w:t>C</w:t>
            </w:r>
          </w:p>
        </w:tc>
      </w:tr>
      <w:bookmarkEnd w:id="217"/>
    </w:tbl>
    <w:p w14:paraId="32442598">
      <w:pPr>
        <w:pStyle w:val="112"/>
        <w:spacing w:before="312" w:after="312"/>
      </w:pPr>
      <w:r>
        <w:t>施工</w:t>
      </w:r>
      <w:bookmarkEnd w:id="218"/>
      <w:bookmarkEnd w:id="219"/>
      <w:bookmarkEnd w:id="220"/>
      <w:bookmarkEnd w:id="221"/>
      <w:bookmarkEnd w:id="222"/>
      <w:bookmarkEnd w:id="223"/>
      <w:bookmarkEnd w:id="224"/>
    </w:p>
    <w:p w14:paraId="7B63082A">
      <w:pPr>
        <w:pStyle w:val="113"/>
        <w:spacing w:before="156" w:after="156"/>
      </w:pPr>
      <w:bookmarkStart w:id="225" w:name="_Toc176167856"/>
      <w:bookmarkStart w:id="226" w:name="_Toc183898454"/>
      <w:bookmarkStart w:id="227" w:name="_Toc183897616"/>
      <w:bookmarkStart w:id="228" w:name="_Toc184997592"/>
      <w:bookmarkStart w:id="229" w:name="_Toc183898301"/>
      <w:bookmarkStart w:id="230" w:name="_Toc183897529"/>
      <w:r>
        <w:rPr>
          <w:rFonts w:hint="eastAsia"/>
        </w:rPr>
        <w:t>原路面</w:t>
      </w:r>
      <w:r>
        <w:t>处</w:t>
      </w:r>
      <w:bookmarkEnd w:id="225"/>
      <w:r>
        <w:rPr>
          <w:rFonts w:hint="eastAsia"/>
        </w:rPr>
        <w:t>治</w:t>
      </w:r>
      <w:bookmarkEnd w:id="226"/>
      <w:bookmarkEnd w:id="227"/>
      <w:bookmarkEnd w:id="228"/>
      <w:bookmarkEnd w:id="229"/>
      <w:bookmarkEnd w:id="230"/>
    </w:p>
    <w:p w14:paraId="213D2C32">
      <w:pPr>
        <w:pStyle w:val="73"/>
        <w:spacing w:before="156" w:after="156"/>
        <w:rPr>
          <w:rFonts w:ascii="Times New Roman" w:eastAsia="宋体"/>
        </w:rPr>
      </w:pPr>
      <w:bookmarkStart w:id="231" w:name="_Toc183897530"/>
      <w:bookmarkStart w:id="232" w:name="OLE_LINK18"/>
      <w:r>
        <w:rPr>
          <w:rFonts w:hint="eastAsia" w:ascii="宋体" w:hAnsi="宋体" w:eastAsia="宋体"/>
        </w:rPr>
        <w:t>超薄罩面施工前</w:t>
      </w:r>
      <w:bookmarkStart w:id="233" w:name="_Hlk185062145"/>
      <w:r>
        <w:rPr>
          <w:rFonts w:hint="eastAsia" w:ascii="宋体" w:hAnsi="宋体" w:eastAsia="宋体"/>
        </w:rPr>
        <w:t>应先依据JTG 5142或DB37/T 4428中的规定</w:t>
      </w:r>
      <w:bookmarkEnd w:id="233"/>
      <w:bookmarkStart w:id="234" w:name="_Hlk185062169"/>
      <w:r>
        <w:rPr>
          <w:rFonts w:hint="eastAsia" w:ascii="宋体" w:hAnsi="宋体" w:eastAsia="宋体"/>
        </w:rPr>
        <w:t>对</w:t>
      </w:r>
      <w:r>
        <w:rPr>
          <w:rFonts w:ascii="Times New Roman" w:eastAsia="宋体"/>
        </w:rPr>
        <w:t>原路面横缝、长纵缝等局部病害进行处理，旧裂缝处理后应与原路面平齐</w:t>
      </w:r>
      <w:bookmarkEnd w:id="234"/>
      <w:r>
        <w:rPr>
          <w:rFonts w:ascii="Times New Roman" w:eastAsia="宋体"/>
        </w:rPr>
        <w:t>。</w:t>
      </w:r>
      <w:bookmarkEnd w:id="231"/>
    </w:p>
    <w:p w14:paraId="42D5343C">
      <w:pPr>
        <w:pStyle w:val="73"/>
        <w:spacing w:before="156" w:after="156"/>
        <w:rPr>
          <w:rFonts w:ascii="Times New Roman" w:eastAsia="宋体"/>
        </w:rPr>
      </w:pPr>
      <w:bookmarkStart w:id="235" w:name="_Toc183897531"/>
      <w:bookmarkStart w:id="236" w:name="_Hlk185062182"/>
      <w:r>
        <w:rPr>
          <w:rFonts w:ascii="Times New Roman" w:eastAsia="宋体"/>
        </w:rPr>
        <w:t>沉陷、波浪、拥包等变形类病害及坑槽、松散、泛油等表面破损类病害，</w:t>
      </w:r>
      <w:r>
        <w:rPr>
          <w:rFonts w:hint="eastAsia" w:ascii="Times New Roman" w:eastAsia="宋体"/>
        </w:rPr>
        <w:t>按照</w:t>
      </w:r>
      <w:r>
        <w:rPr>
          <w:rFonts w:ascii="Times New Roman" w:eastAsia="宋体"/>
        </w:rPr>
        <w:t>JTG 5142进行处治。</w:t>
      </w:r>
      <w:bookmarkEnd w:id="235"/>
    </w:p>
    <w:bookmarkEnd w:id="236"/>
    <w:p w14:paraId="0841B2DF">
      <w:pPr>
        <w:pStyle w:val="73"/>
        <w:spacing w:before="156" w:after="156"/>
        <w:rPr>
          <w:rFonts w:ascii="Times New Roman" w:eastAsia="宋体"/>
          <w:color w:val="000000" w:themeColor="text1"/>
          <w14:textFill>
            <w14:solidFill>
              <w14:schemeClr w14:val="tx1"/>
            </w14:solidFill>
          </w14:textFill>
        </w:rPr>
      </w:pPr>
      <w:bookmarkStart w:id="237" w:name="_Toc183897532"/>
      <w:r>
        <w:rPr>
          <w:rFonts w:ascii="Times New Roman" w:eastAsia="宋体"/>
          <w:color w:val="000000" w:themeColor="text1"/>
          <w14:textFill>
            <w14:solidFill>
              <w14:schemeClr w14:val="tx1"/>
            </w14:solidFill>
          </w14:textFill>
        </w:rPr>
        <w:t>裂缝、松散及泛油等损坏程度不超过轻度</w:t>
      </w:r>
      <w:r>
        <w:rPr>
          <w:rFonts w:hint="eastAsia" w:ascii="Times New Roman" w:eastAsia="宋体"/>
          <w:color w:val="000000" w:themeColor="text1"/>
          <w14:textFill>
            <w14:solidFill>
              <w14:schemeClr w14:val="tx1"/>
            </w14:solidFill>
          </w14:textFill>
        </w:rPr>
        <w:t>、</w:t>
      </w:r>
      <w:r>
        <w:rPr>
          <w:rFonts w:ascii="Times New Roman" w:eastAsia="宋体"/>
          <w:color w:val="000000" w:themeColor="text1"/>
          <w14:textFill>
            <w14:solidFill>
              <w14:schemeClr w14:val="tx1"/>
            </w14:solidFill>
          </w14:textFill>
        </w:rPr>
        <w:t>高差变形不超过10</w:t>
      </w:r>
      <w:r>
        <w:rPr>
          <w:rFonts w:hint="eastAsia" w:ascii="Times New Roman" w:eastAsia="宋体"/>
          <w:color w:val="000000" w:themeColor="text1"/>
          <w14:textFill>
            <w14:solidFill>
              <w14:schemeClr w14:val="tx1"/>
            </w14:solidFill>
          </w14:textFill>
        </w:rPr>
        <w:t xml:space="preserve"> </w:t>
      </w:r>
      <w:r>
        <w:rPr>
          <w:rFonts w:ascii="Times New Roman" w:eastAsia="宋体"/>
          <w:color w:val="000000" w:themeColor="text1"/>
          <w14:textFill>
            <w14:solidFill>
              <w14:schemeClr w14:val="tx1"/>
            </w14:solidFill>
          </w14:textFill>
        </w:rPr>
        <w:t>mm的，可直接实施超薄罩面。</w:t>
      </w:r>
      <w:bookmarkEnd w:id="237"/>
    </w:p>
    <w:p w14:paraId="5B77DD04">
      <w:pPr>
        <w:pStyle w:val="73"/>
        <w:spacing w:before="156" w:after="156"/>
        <w:rPr>
          <w:rFonts w:ascii="Times New Roman" w:eastAsia="宋体"/>
        </w:rPr>
      </w:pPr>
      <w:bookmarkStart w:id="238" w:name="_Toc183897533"/>
      <w:r>
        <w:rPr>
          <w:rFonts w:ascii="Times New Roman" w:eastAsia="宋体"/>
        </w:rPr>
        <w:t>车辙变形超过10</w:t>
      </w:r>
      <w:r>
        <w:rPr>
          <w:rFonts w:hint="eastAsia" w:ascii="Times New Roman" w:eastAsia="宋体"/>
        </w:rPr>
        <w:t xml:space="preserve"> </w:t>
      </w:r>
      <w:r>
        <w:rPr>
          <w:rFonts w:ascii="Times New Roman" w:eastAsia="宋体"/>
        </w:rPr>
        <w:t>mm时，</w:t>
      </w:r>
      <w:bookmarkStart w:id="239" w:name="_Hlk185062245"/>
      <w:r>
        <w:rPr>
          <w:rFonts w:ascii="Times New Roman" w:eastAsia="宋体"/>
        </w:rPr>
        <w:t>应先依据JTG 5142中的规定对原路面车辙进行处治</w:t>
      </w:r>
      <w:bookmarkEnd w:id="239"/>
      <w:r>
        <w:rPr>
          <w:rFonts w:ascii="Times New Roman" w:eastAsia="宋体"/>
        </w:rPr>
        <w:t>，然后再实施超薄罩面。</w:t>
      </w:r>
      <w:bookmarkEnd w:id="238"/>
    </w:p>
    <w:p w14:paraId="2066D1A6">
      <w:pPr>
        <w:pStyle w:val="73"/>
        <w:spacing w:before="156" w:after="156"/>
        <w:rPr>
          <w:rFonts w:ascii="Times New Roman" w:eastAsia="宋体"/>
        </w:rPr>
      </w:pPr>
      <w:bookmarkStart w:id="240" w:name="_Toc183897534"/>
      <w:r>
        <w:rPr>
          <w:rFonts w:hint="eastAsia" w:ascii="Times New Roman" w:eastAsia="宋体"/>
        </w:rPr>
        <w:t>应</w:t>
      </w:r>
      <w:r>
        <w:rPr>
          <w:rFonts w:ascii="Times New Roman" w:eastAsia="宋体"/>
        </w:rPr>
        <w:t>对原路面附着杂物（含灌缝胶、贴缝带）、原标线、泥土和灰尘进行清理，路面应保持平整、洁净、干燥。</w:t>
      </w:r>
      <w:bookmarkEnd w:id="240"/>
    </w:p>
    <w:bookmarkEnd w:id="232"/>
    <w:p w14:paraId="23859610">
      <w:pPr>
        <w:pStyle w:val="113"/>
        <w:spacing w:before="156" w:after="156"/>
      </w:pPr>
      <w:bookmarkStart w:id="241" w:name="_Toc183897535"/>
      <w:bookmarkStart w:id="242" w:name="_Toc183898302"/>
      <w:bookmarkStart w:id="243" w:name="_Toc184997593"/>
      <w:bookmarkStart w:id="244" w:name="_Toc183897617"/>
      <w:bookmarkStart w:id="245" w:name="_Toc183898455"/>
      <w:bookmarkStart w:id="246" w:name="_Toc176167857"/>
      <w:bookmarkStart w:id="247" w:name="OLE_LINK42"/>
      <w:r>
        <w:t>粘结层</w:t>
      </w:r>
      <w:bookmarkEnd w:id="241"/>
      <w:bookmarkEnd w:id="242"/>
      <w:bookmarkEnd w:id="243"/>
      <w:bookmarkEnd w:id="244"/>
      <w:bookmarkEnd w:id="245"/>
      <w:bookmarkEnd w:id="246"/>
    </w:p>
    <w:bookmarkEnd w:id="247"/>
    <w:p w14:paraId="56DAA599">
      <w:pPr>
        <w:pStyle w:val="73"/>
        <w:spacing w:before="156" w:after="156"/>
        <w:rPr>
          <w:rFonts w:ascii="宋体" w:hAnsi="宋体" w:eastAsia="宋体"/>
        </w:rPr>
      </w:pPr>
      <w:bookmarkStart w:id="248" w:name="_Toc183897536"/>
      <w:r>
        <w:rPr>
          <w:rFonts w:ascii="宋体" w:hAnsi="宋体" w:eastAsia="宋体"/>
        </w:rPr>
        <w:t>粘结层施工技术要求应符合表</w:t>
      </w:r>
      <w:r>
        <w:rPr>
          <w:rFonts w:hint="eastAsia" w:ascii="宋体" w:hAnsi="宋体" w:eastAsia="宋体"/>
        </w:rPr>
        <w:t>9</w:t>
      </w:r>
      <w:r>
        <w:rPr>
          <w:rFonts w:ascii="宋体" w:hAnsi="宋体" w:eastAsia="宋体"/>
        </w:rPr>
        <w:t>中的规定。</w:t>
      </w:r>
      <w:bookmarkEnd w:id="248"/>
    </w:p>
    <w:p w14:paraId="1D0FCADB">
      <w:pPr>
        <w:pStyle w:val="120"/>
        <w:spacing w:before="156" w:after="156"/>
      </w:pPr>
      <w:r>
        <w:t>粘结层施工技术要求</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8"/>
        <w:gridCol w:w="1457"/>
        <w:gridCol w:w="3189"/>
        <w:gridCol w:w="2896"/>
      </w:tblGrid>
      <w:tr w14:paraId="6F6C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0" w:type="pct"/>
            <w:vAlign w:val="center"/>
          </w:tcPr>
          <w:p w14:paraId="01E5F919">
            <w:pPr>
              <w:snapToGrid w:val="0"/>
              <w:spacing w:line="240" w:lineRule="auto"/>
              <w:jc w:val="center"/>
              <w:rPr>
                <w:rFonts w:ascii="Times New Roman" w:hAnsi="Times New Roman"/>
                <w:sz w:val="18"/>
                <w:szCs w:val="18"/>
              </w:rPr>
            </w:pPr>
            <w:bookmarkStart w:id="249" w:name="_Hlk185062320"/>
            <w:r>
              <w:rPr>
                <w:rFonts w:ascii="Times New Roman" w:hAnsi="Times New Roman"/>
                <w:sz w:val="18"/>
                <w:szCs w:val="18"/>
              </w:rPr>
              <w:t>沥青种类</w:t>
            </w:r>
          </w:p>
        </w:tc>
        <w:tc>
          <w:tcPr>
            <w:tcW w:w="2427" w:type="pct"/>
            <w:gridSpan w:val="2"/>
            <w:vAlign w:val="center"/>
          </w:tcPr>
          <w:p w14:paraId="6E91D6C5">
            <w:pPr>
              <w:snapToGrid w:val="0"/>
              <w:spacing w:line="240" w:lineRule="auto"/>
              <w:jc w:val="center"/>
              <w:rPr>
                <w:rFonts w:ascii="Times New Roman" w:hAnsi="Times New Roman"/>
                <w:sz w:val="18"/>
                <w:szCs w:val="18"/>
              </w:rPr>
            </w:pPr>
            <w:r>
              <w:rPr>
                <w:rFonts w:ascii="Times New Roman" w:hAnsi="Times New Roman"/>
                <w:sz w:val="18"/>
                <w:szCs w:val="18"/>
              </w:rPr>
              <w:t>高黏韧性改性沥青</w:t>
            </w:r>
          </w:p>
        </w:tc>
        <w:tc>
          <w:tcPr>
            <w:tcW w:w="1513" w:type="pct"/>
            <w:vAlign w:val="center"/>
          </w:tcPr>
          <w:p w14:paraId="6BE94797">
            <w:pPr>
              <w:snapToGrid w:val="0"/>
              <w:spacing w:line="240" w:lineRule="auto"/>
              <w:jc w:val="center"/>
              <w:rPr>
                <w:rFonts w:ascii="Times New Roman" w:hAnsi="Times New Roman"/>
                <w:sz w:val="18"/>
                <w:szCs w:val="18"/>
              </w:rPr>
            </w:pPr>
            <w:r>
              <w:rPr>
                <w:rFonts w:ascii="Times New Roman" w:hAnsi="Times New Roman"/>
                <w:sz w:val="18"/>
                <w:szCs w:val="18"/>
              </w:rPr>
              <w:t>高黏改性乳化沥青</w:t>
            </w:r>
          </w:p>
        </w:tc>
      </w:tr>
      <w:tr w14:paraId="7E6F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0" w:type="pct"/>
            <w:vAlign w:val="center"/>
          </w:tcPr>
          <w:p w14:paraId="2B7AA438">
            <w:pPr>
              <w:snapToGrid w:val="0"/>
              <w:spacing w:line="240" w:lineRule="auto"/>
              <w:jc w:val="center"/>
              <w:rPr>
                <w:rFonts w:ascii="Times New Roman" w:hAnsi="Times New Roman"/>
                <w:sz w:val="18"/>
                <w:szCs w:val="18"/>
              </w:rPr>
            </w:pPr>
            <w:r>
              <w:rPr>
                <w:rFonts w:ascii="Times New Roman" w:hAnsi="Times New Roman"/>
                <w:sz w:val="18"/>
                <w:szCs w:val="18"/>
              </w:rPr>
              <w:t>沥青洒布量</w:t>
            </w:r>
            <w:r>
              <w:rPr>
                <w:rFonts w:ascii="Times New Roman" w:hAnsi="Times New Roman"/>
                <w:kern w:val="0"/>
                <w:sz w:val="18"/>
                <w:szCs w:val="18"/>
              </w:rPr>
              <w:t>/（</w:t>
            </w:r>
            <w:r>
              <w:rPr>
                <w:rFonts w:ascii="Times New Roman" w:hAnsi="Times New Roman"/>
                <w:sz w:val="18"/>
                <w:szCs w:val="18"/>
              </w:rPr>
              <w:t>kg/m</w:t>
            </w:r>
            <w:r>
              <w:rPr>
                <w:rFonts w:ascii="Times New Roman" w:hAnsi="Times New Roman"/>
                <w:sz w:val="18"/>
                <w:szCs w:val="18"/>
                <w:vertAlign w:val="superscript"/>
              </w:rPr>
              <w:t>2</w:t>
            </w:r>
            <w:r>
              <w:rPr>
                <w:rFonts w:ascii="Times New Roman" w:hAnsi="Times New Roman"/>
                <w:kern w:val="0"/>
                <w:sz w:val="18"/>
                <w:szCs w:val="18"/>
              </w:rPr>
              <w:t>）</w:t>
            </w:r>
          </w:p>
        </w:tc>
        <w:tc>
          <w:tcPr>
            <w:tcW w:w="2427" w:type="pct"/>
            <w:gridSpan w:val="2"/>
            <w:vAlign w:val="center"/>
          </w:tcPr>
          <w:p w14:paraId="1AFAB710">
            <w:pPr>
              <w:snapToGrid w:val="0"/>
              <w:spacing w:line="240" w:lineRule="auto"/>
              <w:jc w:val="center"/>
              <w:rPr>
                <w:rFonts w:ascii="Times New Roman" w:hAnsi="Times New Roman"/>
                <w:sz w:val="18"/>
                <w:szCs w:val="18"/>
              </w:rPr>
            </w:pPr>
            <w:r>
              <w:rPr>
                <w:rFonts w:ascii="Times New Roman" w:hAnsi="Times New Roman"/>
                <w:sz w:val="18"/>
                <w:szCs w:val="18"/>
              </w:rPr>
              <w:t>1.2～1.5</w:t>
            </w:r>
          </w:p>
        </w:tc>
        <w:tc>
          <w:tcPr>
            <w:tcW w:w="1513" w:type="pct"/>
            <w:vAlign w:val="center"/>
          </w:tcPr>
          <w:p w14:paraId="1F4D9590">
            <w:pPr>
              <w:snapToGrid w:val="0"/>
              <w:spacing w:line="240" w:lineRule="auto"/>
              <w:jc w:val="center"/>
              <w:rPr>
                <w:rFonts w:ascii="Times New Roman" w:hAnsi="Times New Roman"/>
                <w:sz w:val="18"/>
                <w:szCs w:val="18"/>
              </w:rPr>
            </w:pPr>
            <w:r>
              <w:rPr>
                <w:rFonts w:ascii="Times New Roman" w:hAnsi="Times New Roman"/>
                <w:sz w:val="18"/>
                <w:szCs w:val="18"/>
              </w:rPr>
              <w:t>1.0～1.5</w:t>
            </w:r>
          </w:p>
        </w:tc>
      </w:tr>
      <w:tr w14:paraId="10B7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0" w:type="pct"/>
            <w:vAlign w:val="center"/>
          </w:tcPr>
          <w:p w14:paraId="181BA51F">
            <w:pPr>
              <w:snapToGrid w:val="0"/>
              <w:spacing w:line="240" w:lineRule="auto"/>
              <w:jc w:val="center"/>
              <w:rPr>
                <w:rFonts w:ascii="Times New Roman" w:hAnsi="Times New Roman"/>
                <w:sz w:val="18"/>
                <w:szCs w:val="18"/>
              </w:rPr>
            </w:pPr>
            <w:r>
              <w:rPr>
                <w:rFonts w:ascii="Times New Roman" w:hAnsi="Times New Roman"/>
                <w:sz w:val="18"/>
                <w:szCs w:val="18"/>
              </w:rPr>
              <w:t>洒布温度</w:t>
            </w:r>
            <w:r>
              <w:rPr>
                <w:rFonts w:ascii="Times New Roman" w:hAnsi="Times New Roman"/>
                <w:kern w:val="0"/>
                <w:sz w:val="18"/>
                <w:szCs w:val="18"/>
              </w:rPr>
              <w:t>/（</w:t>
            </w:r>
            <w:r>
              <w:rPr>
                <w:rFonts w:ascii="Times New Roman" w:hAnsi="Times New Roman"/>
                <w:sz w:val="18"/>
                <w:szCs w:val="18"/>
              </w:rPr>
              <w:t>℃</w:t>
            </w:r>
            <w:r>
              <w:rPr>
                <w:rFonts w:ascii="Times New Roman" w:hAnsi="Times New Roman"/>
                <w:kern w:val="0"/>
                <w:sz w:val="18"/>
                <w:szCs w:val="18"/>
              </w:rPr>
              <w:t>）</w:t>
            </w:r>
          </w:p>
        </w:tc>
        <w:tc>
          <w:tcPr>
            <w:tcW w:w="2427" w:type="pct"/>
            <w:gridSpan w:val="2"/>
            <w:vAlign w:val="center"/>
          </w:tcPr>
          <w:p w14:paraId="779A44A4">
            <w:pPr>
              <w:snapToGrid w:val="0"/>
              <w:spacing w:line="240" w:lineRule="auto"/>
              <w:jc w:val="center"/>
              <w:rPr>
                <w:rFonts w:ascii="Times New Roman" w:hAnsi="Times New Roman"/>
                <w:sz w:val="18"/>
                <w:szCs w:val="18"/>
              </w:rPr>
            </w:pPr>
            <w:r>
              <w:rPr>
                <w:rFonts w:ascii="Times New Roman" w:hAnsi="Times New Roman"/>
                <w:sz w:val="18"/>
                <w:szCs w:val="18"/>
              </w:rPr>
              <w:t>190</w:t>
            </w:r>
            <w:r>
              <w:rPr>
                <w:rFonts w:hint="eastAsia" w:ascii="Times New Roman" w:hAnsi="Times New Roman"/>
                <w:sz w:val="18"/>
                <w:szCs w:val="18"/>
              </w:rPr>
              <w:t>±</w:t>
            </w:r>
            <w:r>
              <w:rPr>
                <w:rFonts w:ascii="Times New Roman" w:hAnsi="Times New Roman"/>
                <w:sz w:val="18"/>
                <w:szCs w:val="18"/>
              </w:rPr>
              <w:t>5</w:t>
            </w:r>
          </w:p>
        </w:tc>
        <w:tc>
          <w:tcPr>
            <w:tcW w:w="1513" w:type="pct"/>
            <w:vAlign w:val="center"/>
          </w:tcPr>
          <w:p w14:paraId="74483220">
            <w:pPr>
              <w:snapToGrid w:val="0"/>
              <w:spacing w:line="240" w:lineRule="auto"/>
              <w:jc w:val="center"/>
              <w:rPr>
                <w:rFonts w:ascii="Times New Roman" w:hAnsi="Times New Roman"/>
                <w:sz w:val="18"/>
                <w:szCs w:val="18"/>
              </w:rPr>
            </w:pPr>
            <w:r>
              <w:rPr>
                <w:rFonts w:ascii="Times New Roman" w:hAnsi="Times New Roman"/>
                <w:sz w:val="18"/>
                <w:szCs w:val="18"/>
              </w:rPr>
              <w:t>80</w:t>
            </w:r>
            <w:r>
              <w:rPr>
                <w:rFonts w:hint="eastAsia" w:ascii="Times New Roman" w:hAnsi="Times New Roman"/>
                <w:sz w:val="18"/>
                <w:szCs w:val="18"/>
              </w:rPr>
              <w:t>±</w:t>
            </w:r>
            <w:r>
              <w:rPr>
                <w:rFonts w:ascii="Times New Roman" w:hAnsi="Times New Roman"/>
                <w:sz w:val="18"/>
                <w:szCs w:val="18"/>
              </w:rPr>
              <w:t>5</w:t>
            </w:r>
          </w:p>
        </w:tc>
      </w:tr>
      <w:tr w14:paraId="6DA9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0" w:type="pct"/>
            <w:vMerge w:val="restart"/>
            <w:vAlign w:val="center"/>
          </w:tcPr>
          <w:p w14:paraId="7853C651">
            <w:pPr>
              <w:snapToGrid w:val="0"/>
              <w:spacing w:line="240" w:lineRule="auto"/>
              <w:jc w:val="center"/>
              <w:rPr>
                <w:rFonts w:ascii="Times New Roman" w:hAnsi="Times New Roman"/>
                <w:sz w:val="18"/>
                <w:szCs w:val="18"/>
              </w:rPr>
            </w:pPr>
            <w:r>
              <w:rPr>
                <w:rFonts w:ascii="Times New Roman" w:hAnsi="Times New Roman"/>
                <w:sz w:val="18"/>
                <w:szCs w:val="18"/>
              </w:rPr>
              <w:t>碎石</w:t>
            </w:r>
          </w:p>
        </w:tc>
        <w:tc>
          <w:tcPr>
            <w:tcW w:w="761" w:type="pct"/>
            <w:vAlign w:val="center"/>
          </w:tcPr>
          <w:p w14:paraId="40EC0B8F">
            <w:pPr>
              <w:snapToGrid w:val="0"/>
              <w:spacing w:line="240" w:lineRule="auto"/>
              <w:jc w:val="center"/>
              <w:rPr>
                <w:rFonts w:ascii="Times New Roman" w:hAnsi="Times New Roman"/>
                <w:sz w:val="18"/>
                <w:szCs w:val="18"/>
              </w:rPr>
            </w:pPr>
            <w:r>
              <w:rPr>
                <w:rFonts w:ascii="Times New Roman" w:hAnsi="Times New Roman"/>
                <w:sz w:val="18"/>
                <w:szCs w:val="18"/>
              </w:rPr>
              <w:t>材质</w:t>
            </w:r>
          </w:p>
        </w:tc>
        <w:tc>
          <w:tcPr>
            <w:tcW w:w="1666" w:type="pct"/>
            <w:vAlign w:val="center"/>
          </w:tcPr>
          <w:p w14:paraId="3A8449C9">
            <w:pPr>
              <w:snapToGrid w:val="0"/>
              <w:spacing w:line="240" w:lineRule="auto"/>
              <w:jc w:val="center"/>
              <w:rPr>
                <w:rFonts w:ascii="Times New Roman" w:hAnsi="Times New Roman"/>
                <w:sz w:val="18"/>
                <w:szCs w:val="18"/>
              </w:rPr>
            </w:pPr>
            <w:r>
              <w:rPr>
                <w:rFonts w:ascii="Times New Roman" w:hAnsi="Times New Roman"/>
                <w:sz w:val="18"/>
                <w:szCs w:val="18"/>
              </w:rPr>
              <w:t>玄武岩集料</w:t>
            </w:r>
          </w:p>
        </w:tc>
        <w:tc>
          <w:tcPr>
            <w:tcW w:w="1513" w:type="pct"/>
            <w:vMerge w:val="restart"/>
            <w:vAlign w:val="center"/>
          </w:tcPr>
          <w:p w14:paraId="000F7FE3">
            <w:pPr>
              <w:snapToGrid w:val="0"/>
              <w:spacing w:line="240" w:lineRule="auto"/>
              <w:jc w:val="center"/>
              <w:rPr>
                <w:rFonts w:ascii="Times New Roman" w:hAnsi="Times New Roman"/>
                <w:sz w:val="18"/>
                <w:szCs w:val="18"/>
              </w:rPr>
            </w:pPr>
            <w:r>
              <w:rPr>
                <w:rFonts w:hint="eastAsia" w:ascii="Times New Roman" w:hAnsi="Times New Roman"/>
                <w:sz w:val="18"/>
                <w:szCs w:val="18"/>
              </w:rPr>
              <w:t>—</w:t>
            </w:r>
          </w:p>
        </w:tc>
      </w:tr>
      <w:tr w14:paraId="50EEF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0" w:type="pct"/>
            <w:vMerge w:val="continue"/>
            <w:vAlign w:val="center"/>
          </w:tcPr>
          <w:p w14:paraId="267AF5A9">
            <w:pPr>
              <w:snapToGrid w:val="0"/>
              <w:spacing w:line="240" w:lineRule="auto"/>
              <w:jc w:val="center"/>
              <w:rPr>
                <w:rFonts w:ascii="Times New Roman" w:hAnsi="Times New Roman"/>
                <w:sz w:val="18"/>
                <w:szCs w:val="18"/>
              </w:rPr>
            </w:pPr>
          </w:p>
        </w:tc>
        <w:tc>
          <w:tcPr>
            <w:tcW w:w="761" w:type="pct"/>
            <w:vAlign w:val="center"/>
          </w:tcPr>
          <w:p w14:paraId="562F1428">
            <w:pPr>
              <w:snapToGrid w:val="0"/>
              <w:spacing w:line="240" w:lineRule="auto"/>
              <w:jc w:val="center"/>
              <w:rPr>
                <w:rFonts w:ascii="Times New Roman" w:hAnsi="Times New Roman"/>
                <w:sz w:val="18"/>
                <w:szCs w:val="18"/>
              </w:rPr>
            </w:pPr>
            <w:r>
              <w:rPr>
                <w:rFonts w:ascii="Times New Roman" w:hAnsi="Times New Roman"/>
                <w:sz w:val="18"/>
                <w:szCs w:val="18"/>
              </w:rPr>
              <w:t>质量要求</w:t>
            </w:r>
          </w:p>
        </w:tc>
        <w:tc>
          <w:tcPr>
            <w:tcW w:w="1666" w:type="pct"/>
            <w:vAlign w:val="center"/>
          </w:tcPr>
          <w:p w14:paraId="67253279">
            <w:pPr>
              <w:snapToGrid w:val="0"/>
              <w:spacing w:line="240" w:lineRule="auto"/>
              <w:jc w:val="center"/>
              <w:rPr>
                <w:rFonts w:ascii="Times New Roman" w:hAnsi="Times New Roman"/>
                <w:sz w:val="18"/>
                <w:szCs w:val="18"/>
              </w:rPr>
            </w:pPr>
            <w:r>
              <w:rPr>
                <w:rFonts w:ascii="Times New Roman" w:hAnsi="Times New Roman"/>
                <w:sz w:val="18"/>
                <w:szCs w:val="18"/>
              </w:rPr>
              <w:t>坚硬、清洁、干燥、无风化、无杂质</w:t>
            </w:r>
          </w:p>
        </w:tc>
        <w:tc>
          <w:tcPr>
            <w:tcW w:w="1513" w:type="pct"/>
            <w:vMerge w:val="continue"/>
            <w:vAlign w:val="center"/>
          </w:tcPr>
          <w:p w14:paraId="190E3409">
            <w:pPr>
              <w:snapToGrid w:val="0"/>
              <w:spacing w:line="240" w:lineRule="auto"/>
              <w:jc w:val="center"/>
              <w:rPr>
                <w:sz w:val="18"/>
                <w:szCs w:val="18"/>
              </w:rPr>
            </w:pPr>
          </w:p>
        </w:tc>
      </w:tr>
      <w:tr w14:paraId="05D9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60" w:type="pct"/>
            <w:vMerge w:val="continue"/>
            <w:vAlign w:val="center"/>
          </w:tcPr>
          <w:p w14:paraId="7B4E6D45">
            <w:pPr>
              <w:snapToGrid w:val="0"/>
              <w:spacing w:line="240" w:lineRule="auto"/>
              <w:jc w:val="center"/>
              <w:rPr>
                <w:rFonts w:ascii="Times New Roman" w:hAnsi="Times New Roman"/>
                <w:sz w:val="18"/>
                <w:szCs w:val="18"/>
              </w:rPr>
            </w:pPr>
          </w:p>
        </w:tc>
        <w:tc>
          <w:tcPr>
            <w:tcW w:w="761" w:type="pct"/>
            <w:vAlign w:val="center"/>
          </w:tcPr>
          <w:p w14:paraId="0AC2DF1D">
            <w:pPr>
              <w:snapToGrid w:val="0"/>
              <w:spacing w:line="240" w:lineRule="auto"/>
              <w:jc w:val="center"/>
              <w:rPr>
                <w:rFonts w:ascii="Times New Roman" w:hAnsi="Times New Roman"/>
                <w:sz w:val="18"/>
                <w:szCs w:val="18"/>
              </w:rPr>
            </w:pPr>
            <w:r>
              <w:rPr>
                <w:rFonts w:ascii="Times New Roman" w:hAnsi="Times New Roman"/>
                <w:sz w:val="18"/>
                <w:szCs w:val="18"/>
              </w:rPr>
              <w:t>规格</w:t>
            </w:r>
            <w:r>
              <w:rPr>
                <w:rFonts w:ascii="Times New Roman" w:hAnsi="Times New Roman"/>
                <w:kern w:val="0"/>
                <w:sz w:val="18"/>
                <w:szCs w:val="18"/>
              </w:rPr>
              <w:t>/（</w:t>
            </w:r>
            <w:r>
              <w:rPr>
                <w:rFonts w:ascii="Times New Roman" w:hAnsi="Times New Roman"/>
                <w:sz w:val="18"/>
                <w:szCs w:val="18"/>
              </w:rPr>
              <w:t>mm</w:t>
            </w:r>
            <w:r>
              <w:rPr>
                <w:rFonts w:ascii="Times New Roman" w:hAnsi="Times New Roman"/>
                <w:kern w:val="0"/>
                <w:sz w:val="18"/>
                <w:szCs w:val="18"/>
              </w:rPr>
              <w:t>）</w:t>
            </w:r>
          </w:p>
        </w:tc>
        <w:tc>
          <w:tcPr>
            <w:tcW w:w="1666" w:type="pct"/>
            <w:vAlign w:val="center"/>
          </w:tcPr>
          <w:p w14:paraId="70F61680">
            <w:pPr>
              <w:snapToGrid w:val="0"/>
              <w:spacing w:line="240" w:lineRule="auto"/>
              <w:jc w:val="center"/>
              <w:rPr>
                <w:rFonts w:ascii="Times New Roman" w:hAnsi="Times New Roman"/>
                <w:sz w:val="18"/>
                <w:szCs w:val="18"/>
              </w:rPr>
            </w:pPr>
            <w:r>
              <w:rPr>
                <w:rFonts w:ascii="Times New Roman" w:hAnsi="Times New Roman"/>
                <w:sz w:val="18"/>
                <w:szCs w:val="18"/>
              </w:rPr>
              <w:t>3～5</w:t>
            </w:r>
          </w:p>
        </w:tc>
        <w:tc>
          <w:tcPr>
            <w:tcW w:w="1513" w:type="pct"/>
            <w:vMerge w:val="continue"/>
            <w:vAlign w:val="center"/>
          </w:tcPr>
          <w:p w14:paraId="2BCA2AD5">
            <w:pPr>
              <w:snapToGrid w:val="0"/>
              <w:spacing w:line="240" w:lineRule="auto"/>
              <w:jc w:val="center"/>
              <w:rPr>
                <w:sz w:val="18"/>
                <w:szCs w:val="18"/>
              </w:rPr>
            </w:pPr>
          </w:p>
        </w:tc>
      </w:tr>
      <w:bookmarkEnd w:id="249"/>
    </w:tbl>
    <w:p w14:paraId="1403F2AE">
      <w:pPr>
        <w:pStyle w:val="73"/>
        <w:spacing w:before="156" w:after="156"/>
        <w:rPr>
          <w:rFonts w:ascii="宋体" w:hAnsi="宋体" w:eastAsia="宋体"/>
        </w:rPr>
      </w:pPr>
      <w:bookmarkStart w:id="250" w:name="_Toc183897537"/>
      <w:r>
        <w:rPr>
          <w:rFonts w:hint="eastAsia" w:ascii="宋体" w:hAnsi="宋体" w:eastAsia="宋体"/>
        </w:rPr>
        <w:t>高黏韧性改性沥青粘结层施工宜采用同步碎石封层洒布车，宜使用沥青预拌碎石，基质沥青含量宜为3‰～5‰，碎石撒布量宜控制在2.8 kg/m</w:t>
      </w:r>
      <w:r>
        <w:rPr>
          <w:rFonts w:hint="eastAsia" w:ascii="宋体" w:hAnsi="宋体" w:eastAsia="宋体"/>
          <w:vertAlign w:val="superscript"/>
        </w:rPr>
        <w:t>2</w:t>
      </w:r>
      <w:r>
        <w:rPr>
          <w:rFonts w:hint="eastAsia" w:ascii="宋体" w:hAnsi="宋体" w:eastAsia="宋体"/>
        </w:rPr>
        <w:t>～3.5 kg/m</w:t>
      </w:r>
      <w:r>
        <w:rPr>
          <w:rFonts w:hint="eastAsia" w:ascii="宋体" w:hAnsi="宋体" w:eastAsia="宋体"/>
          <w:vertAlign w:val="superscript"/>
        </w:rPr>
        <w:t>2</w:t>
      </w:r>
      <w:r>
        <w:rPr>
          <w:rFonts w:hint="eastAsia" w:ascii="宋体" w:hAnsi="宋体" w:eastAsia="宋体"/>
        </w:rPr>
        <w:t>，控制单层满铺率70%～80%，以摊铺机和运输车辆无碾起破坏，不粘轮为宜。高黏改性乳化沥青宜采用超薄罩面专用同步施工摊铺设备。</w:t>
      </w:r>
      <w:bookmarkEnd w:id="250"/>
    </w:p>
    <w:p w14:paraId="7681B9D3">
      <w:pPr>
        <w:pStyle w:val="113"/>
        <w:spacing w:before="156" w:after="156"/>
      </w:pPr>
      <w:bookmarkStart w:id="251" w:name="_Toc183897618"/>
      <w:bookmarkStart w:id="252" w:name="_Toc184997594"/>
      <w:bookmarkStart w:id="253" w:name="_Toc183898303"/>
      <w:bookmarkStart w:id="254" w:name="_Toc183898456"/>
      <w:bookmarkStart w:id="255" w:name="_Toc183897539"/>
      <w:bookmarkStart w:id="256" w:name="_Toc176167858"/>
      <w:r>
        <w:t>混合料拌和</w:t>
      </w:r>
      <w:bookmarkEnd w:id="251"/>
      <w:bookmarkEnd w:id="252"/>
      <w:bookmarkEnd w:id="253"/>
      <w:bookmarkEnd w:id="254"/>
      <w:bookmarkEnd w:id="255"/>
      <w:bookmarkEnd w:id="256"/>
    </w:p>
    <w:p w14:paraId="69C2D1D4">
      <w:pPr>
        <w:pStyle w:val="73"/>
        <w:spacing w:before="156" w:after="156"/>
        <w:rPr>
          <w:rFonts w:ascii="宋体" w:hAnsi="宋体" w:eastAsia="宋体"/>
        </w:rPr>
      </w:pPr>
      <w:bookmarkStart w:id="257" w:name="_Toc183897540"/>
      <w:r>
        <w:rPr>
          <w:rFonts w:ascii="宋体" w:hAnsi="宋体" w:eastAsia="宋体"/>
        </w:rPr>
        <w:t>超薄罩面用沥青混合料</w:t>
      </w:r>
      <w:r>
        <w:rPr>
          <w:rFonts w:hint="eastAsia" w:ascii="宋体" w:hAnsi="宋体" w:eastAsia="宋体"/>
        </w:rPr>
        <w:t>宜</w:t>
      </w:r>
      <w:r>
        <w:rPr>
          <w:rFonts w:ascii="宋体" w:hAnsi="宋体" w:eastAsia="宋体"/>
        </w:rPr>
        <w:t>采用间歇式拌和机拌制</w:t>
      </w:r>
      <w:r>
        <w:rPr>
          <w:rFonts w:hint="eastAsia" w:ascii="宋体" w:hAnsi="宋体" w:eastAsia="宋体"/>
        </w:rPr>
        <w:t>，</w:t>
      </w:r>
      <w:r>
        <w:rPr>
          <w:rFonts w:ascii="宋体" w:hAnsi="宋体" w:eastAsia="宋体"/>
        </w:rPr>
        <w:t>拌和能力</w:t>
      </w:r>
      <w:r>
        <w:rPr>
          <w:rFonts w:hint="eastAsia" w:ascii="宋体" w:hAnsi="宋体" w:eastAsia="宋体"/>
        </w:rPr>
        <w:t>应</w:t>
      </w:r>
      <w:r>
        <w:rPr>
          <w:rFonts w:ascii="宋体" w:hAnsi="宋体" w:eastAsia="宋体"/>
        </w:rPr>
        <w:t>满足施工进度要求</w:t>
      </w:r>
      <w:r>
        <w:rPr>
          <w:rFonts w:hint="eastAsia" w:ascii="宋体" w:hAnsi="宋体" w:eastAsia="宋体"/>
        </w:rPr>
        <w:t>，</w:t>
      </w:r>
      <w:r>
        <w:rPr>
          <w:rFonts w:ascii="宋体" w:hAnsi="宋体" w:eastAsia="宋体"/>
        </w:rPr>
        <w:t>拌和机除尘设备</w:t>
      </w:r>
      <w:r>
        <w:rPr>
          <w:rFonts w:hint="eastAsia" w:ascii="宋体" w:hAnsi="宋体" w:eastAsia="宋体"/>
        </w:rPr>
        <w:t>功能</w:t>
      </w:r>
      <w:r>
        <w:rPr>
          <w:rFonts w:ascii="宋体" w:hAnsi="宋体" w:eastAsia="宋体"/>
        </w:rPr>
        <w:t>完好。</w:t>
      </w:r>
      <w:bookmarkEnd w:id="257"/>
    </w:p>
    <w:p w14:paraId="71F8ADB8">
      <w:pPr>
        <w:pStyle w:val="73"/>
        <w:spacing w:before="156" w:after="156"/>
        <w:rPr>
          <w:rFonts w:ascii="宋体" w:hAnsi="宋体" w:eastAsia="宋体"/>
        </w:rPr>
      </w:pPr>
      <w:bookmarkStart w:id="258" w:name="_Toc183897541"/>
      <w:r>
        <w:rPr>
          <w:rFonts w:hint="eastAsia" w:ascii="宋体" w:hAnsi="宋体" w:eastAsia="宋体"/>
        </w:rPr>
        <w:t>超薄罩面用沥青混合料拌和温度控制应符合表</w:t>
      </w:r>
      <w:r>
        <w:rPr>
          <w:rFonts w:ascii="宋体" w:hAnsi="宋体" w:eastAsia="宋体"/>
        </w:rPr>
        <w:t>1</w:t>
      </w:r>
      <w:r>
        <w:rPr>
          <w:rFonts w:hint="eastAsia" w:ascii="宋体" w:hAnsi="宋体" w:eastAsia="宋体"/>
        </w:rPr>
        <w:t>0中的规定，其他胶结材料沥青混合料拌和温度</w:t>
      </w:r>
      <w:r>
        <w:rPr>
          <w:rFonts w:ascii="宋体" w:hAnsi="宋体" w:eastAsia="宋体"/>
        </w:rPr>
        <w:t>应符合JTG F40</w:t>
      </w:r>
      <w:r>
        <w:rPr>
          <w:rFonts w:hint="eastAsia" w:ascii="宋体" w:hAnsi="宋体" w:eastAsia="宋体"/>
        </w:rPr>
        <w:t>的规定</w:t>
      </w:r>
      <w:r>
        <w:rPr>
          <w:rFonts w:ascii="宋体" w:hAnsi="宋体" w:eastAsia="宋体"/>
        </w:rPr>
        <w:t>。</w:t>
      </w:r>
      <w:bookmarkEnd w:id="258"/>
    </w:p>
    <w:p w14:paraId="6C2D67C6">
      <w:pPr>
        <w:pStyle w:val="120"/>
        <w:spacing w:before="156" w:after="156"/>
      </w:pPr>
      <w:r>
        <w:rPr>
          <w:rFonts w:hint="eastAsia"/>
        </w:rPr>
        <w:t>超薄罩面用沥青混合料拌和温度控制</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4"/>
        <w:gridCol w:w="3386"/>
        <w:gridCol w:w="2850"/>
      </w:tblGrid>
      <w:tr w14:paraId="5A71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1742" w:type="pct"/>
            <w:vAlign w:val="center"/>
          </w:tcPr>
          <w:p w14:paraId="24F3018E">
            <w:pPr>
              <w:spacing w:line="240" w:lineRule="auto"/>
              <w:jc w:val="center"/>
              <w:rPr>
                <w:rFonts w:ascii="宋体" w:hAnsi="宋体"/>
                <w:sz w:val="18"/>
                <w:szCs w:val="18"/>
              </w:rPr>
            </w:pPr>
            <w:r>
              <w:rPr>
                <w:rFonts w:ascii="宋体" w:hAnsi="宋体"/>
                <w:sz w:val="18"/>
                <w:szCs w:val="18"/>
              </w:rPr>
              <w:t>工序</w:t>
            </w:r>
          </w:p>
        </w:tc>
        <w:tc>
          <w:tcPr>
            <w:tcW w:w="1769" w:type="pct"/>
            <w:vAlign w:val="center"/>
          </w:tcPr>
          <w:p w14:paraId="198F6A59">
            <w:pPr>
              <w:spacing w:line="240" w:lineRule="auto"/>
              <w:jc w:val="center"/>
              <w:rPr>
                <w:rFonts w:ascii="宋体" w:hAnsi="宋体"/>
                <w:sz w:val="18"/>
                <w:szCs w:val="18"/>
              </w:rPr>
            </w:pPr>
            <w:r>
              <w:rPr>
                <w:rFonts w:ascii="宋体" w:hAnsi="宋体"/>
                <w:sz w:val="18"/>
                <w:szCs w:val="18"/>
              </w:rPr>
              <w:t>高黏韧性改性沥青施工温度</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1489" w:type="pct"/>
            <w:vAlign w:val="center"/>
          </w:tcPr>
          <w:p w14:paraId="2DEF8FEE">
            <w:pPr>
              <w:spacing w:line="240" w:lineRule="auto"/>
              <w:jc w:val="center"/>
              <w:rPr>
                <w:rFonts w:ascii="宋体" w:hAnsi="宋体"/>
                <w:sz w:val="18"/>
                <w:szCs w:val="18"/>
              </w:rPr>
            </w:pPr>
            <w:r>
              <w:rPr>
                <w:rFonts w:ascii="宋体" w:hAnsi="宋体"/>
                <w:sz w:val="18"/>
                <w:szCs w:val="18"/>
              </w:rPr>
              <w:t>测量部位</w:t>
            </w:r>
          </w:p>
        </w:tc>
      </w:tr>
      <w:tr w14:paraId="7276C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2" w:type="pct"/>
            <w:vAlign w:val="center"/>
          </w:tcPr>
          <w:p w14:paraId="4CB2E563">
            <w:pPr>
              <w:spacing w:line="240" w:lineRule="auto"/>
              <w:jc w:val="center"/>
              <w:rPr>
                <w:rFonts w:ascii="宋体" w:hAnsi="宋体"/>
                <w:sz w:val="18"/>
                <w:szCs w:val="18"/>
              </w:rPr>
            </w:pPr>
            <w:r>
              <w:rPr>
                <w:rFonts w:ascii="宋体" w:hAnsi="宋体"/>
                <w:sz w:val="18"/>
                <w:szCs w:val="18"/>
              </w:rPr>
              <w:t>沥青加热温度</w:t>
            </w:r>
          </w:p>
        </w:tc>
        <w:tc>
          <w:tcPr>
            <w:tcW w:w="1769" w:type="pct"/>
            <w:vAlign w:val="center"/>
          </w:tcPr>
          <w:p w14:paraId="0616E9CD">
            <w:pPr>
              <w:spacing w:line="240" w:lineRule="auto"/>
              <w:jc w:val="center"/>
              <w:rPr>
                <w:rFonts w:ascii="宋体" w:hAnsi="宋体"/>
                <w:sz w:val="18"/>
                <w:szCs w:val="18"/>
              </w:rPr>
            </w:pPr>
            <w:r>
              <w:rPr>
                <w:rFonts w:ascii="宋体" w:hAnsi="宋体"/>
                <w:sz w:val="18"/>
                <w:szCs w:val="18"/>
              </w:rPr>
              <w:t>185～190</w:t>
            </w:r>
          </w:p>
        </w:tc>
        <w:tc>
          <w:tcPr>
            <w:tcW w:w="1489" w:type="pct"/>
            <w:vAlign w:val="center"/>
          </w:tcPr>
          <w:p w14:paraId="381400FD">
            <w:pPr>
              <w:spacing w:line="240" w:lineRule="auto"/>
              <w:jc w:val="center"/>
              <w:rPr>
                <w:rFonts w:ascii="宋体" w:hAnsi="宋体"/>
                <w:sz w:val="18"/>
                <w:szCs w:val="18"/>
              </w:rPr>
            </w:pPr>
            <w:r>
              <w:rPr>
                <w:rFonts w:ascii="宋体" w:hAnsi="宋体"/>
                <w:sz w:val="18"/>
                <w:szCs w:val="18"/>
              </w:rPr>
              <w:t>沥青加热罐</w:t>
            </w:r>
          </w:p>
        </w:tc>
      </w:tr>
      <w:tr w14:paraId="7F766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2" w:type="pct"/>
            <w:vAlign w:val="center"/>
          </w:tcPr>
          <w:p w14:paraId="51D027F4">
            <w:pPr>
              <w:spacing w:line="240" w:lineRule="auto"/>
              <w:jc w:val="center"/>
              <w:rPr>
                <w:rFonts w:ascii="宋体" w:hAnsi="宋体"/>
                <w:sz w:val="18"/>
                <w:szCs w:val="18"/>
              </w:rPr>
            </w:pPr>
            <w:r>
              <w:rPr>
                <w:rFonts w:ascii="宋体" w:hAnsi="宋体"/>
                <w:sz w:val="18"/>
                <w:szCs w:val="18"/>
              </w:rPr>
              <w:t>集料加热温度</w:t>
            </w:r>
          </w:p>
        </w:tc>
        <w:tc>
          <w:tcPr>
            <w:tcW w:w="1769" w:type="pct"/>
            <w:vAlign w:val="center"/>
          </w:tcPr>
          <w:p w14:paraId="3999AD28">
            <w:pPr>
              <w:spacing w:line="240" w:lineRule="auto"/>
              <w:jc w:val="center"/>
              <w:rPr>
                <w:rFonts w:ascii="宋体" w:hAnsi="宋体"/>
                <w:sz w:val="18"/>
                <w:szCs w:val="18"/>
              </w:rPr>
            </w:pPr>
            <w:r>
              <w:rPr>
                <w:rFonts w:ascii="宋体" w:hAnsi="宋体"/>
                <w:sz w:val="18"/>
                <w:szCs w:val="18"/>
              </w:rPr>
              <w:t>195～210</w:t>
            </w:r>
          </w:p>
        </w:tc>
        <w:tc>
          <w:tcPr>
            <w:tcW w:w="1489" w:type="pct"/>
            <w:vAlign w:val="center"/>
          </w:tcPr>
          <w:p w14:paraId="5794B87D">
            <w:pPr>
              <w:spacing w:line="240" w:lineRule="auto"/>
              <w:jc w:val="center"/>
              <w:rPr>
                <w:rFonts w:ascii="宋体" w:hAnsi="宋体"/>
                <w:sz w:val="18"/>
                <w:szCs w:val="18"/>
              </w:rPr>
            </w:pPr>
            <w:r>
              <w:rPr>
                <w:rFonts w:ascii="宋体" w:hAnsi="宋体"/>
                <w:sz w:val="18"/>
                <w:szCs w:val="18"/>
              </w:rPr>
              <w:t>热料提升仓</w:t>
            </w:r>
          </w:p>
        </w:tc>
      </w:tr>
      <w:tr w14:paraId="2FCD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2" w:type="pct"/>
            <w:vAlign w:val="center"/>
          </w:tcPr>
          <w:p w14:paraId="7D893F13">
            <w:pPr>
              <w:spacing w:line="240" w:lineRule="auto"/>
              <w:jc w:val="center"/>
              <w:rPr>
                <w:rFonts w:ascii="宋体" w:hAnsi="宋体"/>
                <w:sz w:val="18"/>
                <w:szCs w:val="18"/>
              </w:rPr>
            </w:pPr>
            <w:r>
              <w:rPr>
                <w:rFonts w:ascii="宋体" w:hAnsi="宋体"/>
                <w:sz w:val="18"/>
                <w:szCs w:val="18"/>
              </w:rPr>
              <w:t>混合料出料温度</w:t>
            </w:r>
          </w:p>
        </w:tc>
        <w:tc>
          <w:tcPr>
            <w:tcW w:w="1769" w:type="pct"/>
            <w:vAlign w:val="center"/>
          </w:tcPr>
          <w:p w14:paraId="1545ADB9">
            <w:pPr>
              <w:spacing w:line="240" w:lineRule="auto"/>
              <w:jc w:val="center"/>
              <w:rPr>
                <w:rFonts w:ascii="宋体" w:hAnsi="宋体"/>
                <w:sz w:val="18"/>
                <w:szCs w:val="18"/>
              </w:rPr>
            </w:pPr>
            <w:r>
              <w:rPr>
                <w:rFonts w:ascii="宋体" w:hAnsi="宋体"/>
                <w:sz w:val="18"/>
                <w:szCs w:val="18"/>
              </w:rPr>
              <w:t>190～200</w:t>
            </w:r>
          </w:p>
        </w:tc>
        <w:tc>
          <w:tcPr>
            <w:tcW w:w="1489" w:type="pct"/>
            <w:vAlign w:val="center"/>
          </w:tcPr>
          <w:p w14:paraId="2D264263">
            <w:pPr>
              <w:spacing w:line="240" w:lineRule="auto"/>
              <w:jc w:val="center"/>
              <w:rPr>
                <w:rFonts w:ascii="宋体" w:hAnsi="宋体"/>
                <w:sz w:val="18"/>
                <w:szCs w:val="18"/>
              </w:rPr>
            </w:pPr>
            <w:r>
              <w:rPr>
                <w:rFonts w:ascii="宋体" w:hAnsi="宋体"/>
                <w:sz w:val="18"/>
                <w:szCs w:val="18"/>
              </w:rPr>
              <w:t>运料车</w:t>
            </w:r>
          </w:p>
        </w:tc>
      </w:tr>
      <w:tr w14:paraId="1F5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2" w:type="pct"/>
            <w:vAlign w:val="center"/>
          </w:tcPr>
          <w:p w14:paraId="7ECA4315">
            <w:pPr>
              <w:spacing w:line="240" w:lineRule="auto"/>
              <w:jc w:val="center"/>
              <w:rPr>
                <w:rFonts w:ascii="宋体" w:hAnsi="宋体"/>
                <w:sz w:val="18"/>
                <w:szCs w:val="18"/>
              </w:rPr>
            </w:pPr>
            <w:r>
              <w:rPr>
                <w:rFonts w:ascii="宋体" w:hAnsi="宋体"/>
                <w:sz w:val="18"/>
                <w:szCs w:val="18"/>
              </w:rPr>
              <w:t>混合料最高温度（废弃温度）</w:t>
            </w:r>
          </w:p>
        </w:tc>
        <w:tc>
          <w:tcPr>
            <w:tcW w:w="1769" w:type="pct"/>
            <w:vAlign w:val="center"/>
          </w:tcPr>
          <w:p w14:paraId="307C8719">
            <w:pPr>
              <w:spacing w:line="240" w:lineRule="auto"/>
              <w:jc w:val="center"/>
              <w:rPr>
                <w:rFonts w:ascii="宋体" w:hAnsi="宋体"/>
                <w:sz w:val="18"/>
                <w:szCs w:val="18"/>
              </w:rPr>
            </w:pPr>
            <w:r>
              <w:rPr>
                <w:rFonts w:ascii="宋体" w:hAnsi="宋体"/>
                <w:sz w:val="18"/>
                <w:szCs w:val="18"/>
              </w:rPr>
              <w:t>210</w:t>
            </w:r>
          </w:p>
        </w:tc>
        <w:tc>
          <w:tcPr>
            <w:tcW w:w="1489" w:type="pct"/>
            <w:vAlign w:val="center"/>
          </w:tcPr>
          <w:p w14:paraId="34579756">
            <w:pPr>
              <w:spacing w:line="240" w:lineRule="auto"/>
              <w:jc w:val="center"/>
              <w:rPr>
                <w:rFonts w:ascii="宋体" w:hAnsi="宋体"/>
                <w:sz w:val="18"/>
                <w:szCs w:val="18"/>
              </w:rPr>
            </w:pPr>
            <w:r>
              <w:rPr>
                <w:rFonts w:ascii="宋体" w:hAnsi="宋体"/>
                <w:sz w:val="18"/>
                <w:szCs w:val="18"/>
              </w:rPr>
              <w:t>运料车</w:t>
            </w:r>
          </w:p>
        </w:tc>
      </w:tr>
    </w:tbl>
    <w:p w14:paraId="2D87FF8A">
      <w:pPr>
        <w:pStyle w:val="73"/>
        <w:spacing w:before="156" w:after="156"/>
        <w:rPr>
          <w:rFonts w:ascii="宋体" w:hAnsi="宋体" w:eastAsia="宋体"/>
        </w:rPr>
      </w:pPr>
      <w:bookmarkStart w:id="259" w:name="_Toc183897542"/>
      <w:r>
        <w:rPr>
          <w:rFonts w:hint="eastAsia" w:ascii="宋体" w:hAnsi="宋体" w:eastAsia="宋体"/>
        </w:rPr>
        <w:t>生产S</w:t>
      </w:r>
      <w:r>
        <w:rPr>
          <w:rFonts w:ascii="宋体" w:hAnsi="宋体" w:eastAsia="宋体"/>
        </w:rPr>
        <w:t>MA</w:t>
      </w:r>
      <w:r>
        <w:rPr>
          <w:rFonts w:hint="eastAsia" w:ascii="宋体" w:hAnsi="宋体" w:eastAsia="宋体"/>
        </w:rPr>
        <w:t>沥青混合料时，</w:t>
      </w:r>
      <w:r>
        <w:rPr>
          <w:rFonts w:ascii="宋体" w:hAnsi="宋体" w:eastAsia="宋体"/>
        </w:rPr>
        <w:t>间歇式拌和机生产超薄罩面用沥青混合料的拌和周期不宜少于</w:t>
      </w:r>
      <w:r>
        <w:rPr>
          <w:rFonts w:hint="eastAsia" w:ascii="宋体" w:hAnsi="宋体" w:eastAsia="宋体"/>
        </w:rPr>
        <w:t>60 s</w:t>
      </w:r>
      <w:r>
        <w:rPr>
          <w:rFonts w:ascii="宋体" w:hAnsi="宋体" w:eastAsia="宋体"/>
        </w:rPr>
        <w:t>，干拌时间不少于15</w:t>
      </w:r>
      <w:r>
        <w:rPr>
          <w:rFonts w:hint="eastAsia" w:ascii="宋体" w:hAnsi="宋体" w:eastAsia="宋体"/>
        </w:rPr>
        <w:t xml:space="preserve"> </w:t>
      </w:r>
      <w:r>
        <w:rPr>
          <w:rFonts w:ascii="宋体" w:hAnsi="宋体" w:eastAsia="宋体"/>
        </w:rPr>
        <w:t>s，</w:t>
      </w:r>
      <w:r>
        <w:rPr>
          <w:rFonts w:hint="eastAsia" w:ascii="宋体" w:hAnsi="宋体" w:eastAsia="宋体"/>
        </w:rPr>
        <w:t>纤维应在混合料中充分分散，拌和均匀</w:t>
      </w:r>
      <w:r>
        <w:rPr>
          <w:rFonts w:ascii="宋体" w:hAnsi="宋体" w:eastAsia="宋体"/>
        </w:rPr>
        <w:t>；加入沥青后的拌和时间不</w:t>
      </w:r>
      <w:r>
        <w:rPr>
          <w:rFonts w:hint="eastAsia" w:ascii="宋体" w:hAnsi="宋体" w:eastAsia="宋体"/>
        </w:rPr>
        <w:t>宜少于</w:t>
      </w:r>
      <w:r>
        <w:rPr>
          <w:rFonts w:ascii="宋体" w:hAnsi="宋体" w:eastAsia="宋体"/>
        </w:rPr>
        <w:t>45</w:t>
      </w:r>
      <w:r>
        <w:rPr>
          <w:rFonts w:hint="eastAsia" w:ascii="宋体" w:hAnsi="宋体" w:eastAsia="宋体"/>
        </w:rPr>
        <w:t xml:space="preserve"> </w:t>
      </w:r>
      <w:r>
        <w:rPr>
          <w:rFonts w:ascii="宋体" w:hAnsi="宋体" w:eastAsia="宋体"/>
        </w:rPr>
        <w:t>s；如果沥青胶结料裹覆不均匀，应适当延长拌和时间。</w:t>
      </w:r>
      <w:bookmarkEnd w:id="259"/>
    </w:p>
    <w:p w14:paraId="55632D25">
      <w:pPr>
        <w:pStyle w:val="73"/>
        <w:spacing w:before="156" w:after="156"/>
        <w:rPr>
          <w:rFonts w:ascii="宋体" w:hAnsi="宋体" w:eastAsia="宋体"/>
        </w:rPr>
      </w:pPr>
      <w:r>
        <w:rPr>
          <w:rFonts w:hint="eastAsia" w:ascii="宋体" w:hAnsi="宋体" w:eastAsia="宋体"/>
        </w:rPr>
        <w:t>超薄罩面混合料拌合的其他设备要求、质量控制要求应按J</w:t>
      </w:r>
      <w:r>
        <w:rPr>
          <w:rFonts w:ascii="宋体" w:hAnsi="宋体" w:eastAsia="宋体"/>
        </w:rPr>
        <w:t>TG F40</w:t>
      </w:r>
      <w:r>
        <w:rPr>
          <w:rFonts w:hint="eastAsia" w:ascii="宋体" w:hAnsi="宋体" w:eastAsia="宋体"/>
        </w:rPr>
        <w:t>的有关规定执行。</w:t>
      </w:r>
    </w:p>
    <w:p w14:paraId="58C7C061">
      <w:pPr>
        <w:pStyle w:val="113"/>
        <w:spacing w:before="156" w:after="156"/>
      </w:pPr>
      <w:bookmarkStart w:id="260" w:name="_Toc184997595"/>
      <w:r>
        <w:rPr>
          <w:rFonts w:hint="eastAsia"/>
        </w:rPr>
        <w:t>混合料运输</w:t>
      </w:r>
      <w:bookmarkEnd w:id="260"/>
    </w:p>
    <w:p w14:paraId="022C1E36">
      <w:pPr>
        <w:pStyle w:val="73"/>
        <w:numPr>
          <w:ilvl w:val="0"/>
          <w:numId w:val="0"/>
        </w:numPr>
        <w:spacing w:before="156" w:after="156"/>
        <w:ind w:firstLine="420" w:firstLineChars="200"/>
        <w:rPr>
          <w:rFonts w:ascii="宋体" w:hAnsi="宋体" w:eastAsia="宋体"/>
        </w:rPr>
      </w:pPr>
      <w:r>
        <w:rPr>
          <w:rFonts w:hint="eastAsia" w:ascii="宋体" w:hAnsi="宋体" w:eastAsia="宋体"/>
        </w:rPr>
        <w:t>超薄罩面用沥青混合料运输按JTG F40的有关规定执行。</w:t>
      </w:r>
    </w:p>
    <w:p w14:paraId="718FB057">
      <w:pPr>
        <w:pStyle w:val="113"/>
        <w:spacing w:before="156" w:after="156"/>
      </w:pPr>
      <w:bookmarkStart w:id="261" w:name="_Toc176167860"/>
      <w:bookmarkStart w:id="262" w:name="_Toc183897619"/>
      <w:bookmarkStart w:id="263" w:name="_Toc183898457"/>
      <w:bookmarkStart w:id="264" w:name="_Toc183897543"/>
      <w:bookmarkStart w:id="265" w:name="_Toc183898304"/>
      <w:bookmarkStart w:id="266" w:name="_Toc184997596"/>
      <w:r>
        <w:t>混合料摊铺</w:t>
      </w:r>
      <w:bookmarkEnd w:id="261"/>
      <w:bookmarkEnd w:id="262"/>
      <w:bookmarkEnd w:id="263"/>
      <w:bookmarkEnd w:id="264"/>
      <w:bookmarkEnd w:id="265"/>
      <w:bookmarkEnd w:id="266"/>
    </w:p>
    <w:p w14:paraId="306CF8B0">
      <w:pPr>
        <w:pStyle w:val="73"/>
        <w:spacing w:before="156" w:after="156"/>
        <w:rPr>
          <w:rFonts w:ascii="宋体" w:hAnsi="宋体" w:eastAsia="宋体"/>
        </w:rPr>
      </w:pPr>
      <w:r>
        <w:rPr>
          <w:rFonts w:ascii="宋体" w:hAnsi="宋体" w:eastAsia="宋体"/>
        </w:rPr>
        <w:t>摊铺机开工前应提前1</w:t>
      </w:r>
      <w:r>
        <w:rPr>
          <w:rFonts w:hint="eastAsia" w:ascii="宋体" w:hAnsi="宋体" w:eastAsia="宋体"/>
        </w:rPr>
        <w:t xml:space="preserve"> </w:t>
      </w:r>
      <w:r>
        <w:rPr>
          <w:rFonts w:ascii="宋体" w:hAnsi="宋体" w:eastAsia="宋体"/>
        </w:rPr>
        <w:t>h预热熨平板</w:t>
      </w:r>
      <w:r>
        <w:rPr>
          <w:rFonts w:hint="eastAsia" w:ascii="宋体" w:hAnsi="宋体" w:eastAsia="宋体"/>
        </w:rPr>
        <w:t>至</w:t>
      </w:r>
      <w:r>
        <w:rPr>
          <w:rFonts w:ascii="宋体" w:hAnsi="宋体" w:eastAsia="宋体"/>
        </w:rPr>
        <w:t>温度不低于120℃</w:t>
      </w:r>
      <w:r>
        <w:rPr>
          <w:rFonts w:hint="eastAsia" w:ascii="宋体" w:hAnsi="宋体" w:eastAsia="宋体"/>
        </w:rPr>
        <w:t>，超薄罩面用沥青混合料摊铺温度控制</w:t>
      </w:r>
      <w:r>
        <w:rPr>
          <w:rFonts w:ascii="宋体" w:hAnsi="宋体" w:eastAsia="宋体"/>
        </w:rPr>
        <w:t>应符合</w:t>
      </w:r>
      <w:r>
        <w:rPr>
          <w:rFonts w:hint="eastAsia" w:ascii="宋体" w:hAnsi="宋体" w:eastAsia="宋体"/>
        </w:rPr>
        <w:t>表</w:t>
      </w:r>
      <w:r>
        <w:rPr>
          <w:rFonts w:ascii="宋体" w:hAnsi="宋体" w:eastAsia="宋体"/>
        </w:rPr>
        <w:t>1</w:t>
      </w:r>
      <w:r>
        <w:rPr>
          <w:rFonts w:hint="eastAsia" w:ascii="宋体" w:hAnsi="宋体" w:eastAsia="宋体"/>
        </w:rPr>
        <w:t>1的规定，其他胶结材料沥青混合料摊铺温度</w:t>
      </w:r>
      <w:r>
        <w:rPr>
          <w:rFonts w:ascii="宋体" w:hAnsi="宋体" w:eastAsia="宋体"/>
        </w:rPr>
        <w:t>应符合JTG F40</w:t>
      </w:r>
      <w:r>
        <w:rPr>
          <w:rFonts w:hint="eastAsia" w:ascii="宋体" w:hAnsi="宋体" w:eastAsia="宋体"/>
        </w:rPr>
        <w:t>的规定</w:t>
      </w:r>
      <w:r>
        <w:rPr>
          <w:rFonts w:ascii="宋体" w:hAnsi="宋体" w:eastAsia="宋体"/>
        </w:rPr>
        <w:t>。</w:t>
      </w:r>
    </w:p>
    <w:p w14:paraId="5F8D44E3">
      <w:pPr>
        <w:pStyle w:val="120"/>
        <w:spacing w:before="156" w:after="156"/>
      </w:pPr>
      <w:r>
        <w:t>超薄罩面用沥青混合料</w:t>
      </w:r>
      <w:r>
        <w:rPr>
          <w:rFonts w:hint="eastAsia"/>
        </w:rPr>
        <w:t>摊铺</w:t>
      </w:r>
      <w:r>
        <w:t>温度</w:t>
      </w:r>
      <w:r>
        <w:rPr>
          <w:rFonts w:hint="eastAsia"/>
        </w:rPr>
        <w:t>控制</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34"/>
        <w:gridCol w:w="3386"/>
        <w:gridCol w:w="2850"/>
      </w:tblGrid>
      <w:tr w14:paraId="4EEA6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2" w:type="pct"/>
            <w:vAlign w:val="center"/>
          </w:tcPr>
          <w:p w14:paraId="4998A735">
            <w:pPr>
              <w:spacing w:line="240" w:lineRule="auto"/>
              <w:jc w:val="center"/>
              <w:rPr>
                <w:rFonts w:ascii="宋体" w:hAnsi="宋体"/>
                <w:sz w:val="18"/>
                <w:szCs w:val="18"/>
              </w:rPr>
            </w:pPr>
            <w:r>
              <w:rPr>
                <w:rFonts w:ascii="宋体" w:hAnsi="宋体"/>
                <w:sz w:val="18"/>
                <w:szCs w:val="18"/>
              </w:rPr>
              <w:t>工序</w:t>
            </w:r>
          </w:p>
        </w:tc>
        <w:tc>
          <w:tcPr>
            <w:tcW w:w="1769" w:type="pct"/>
            <w:vAlign w:val="center"/>
          </w:tcPr>
          <w:p w14:paraId="005387EE">
            <w:pPr>
              <w:spacing w:line="240" w:lineRule="auto"/>
              <w:jc w:val="center"/>
              <w:rPr>
                <w:rFonts w:ascii="宋体" w:hAnsi="宋体"/>
                <w:sz w:val="18"/>
                <w:szCs w:val="18"/>
              </w:rPr>
            </w:pPr>
            <w:r>
              <w:rPr>
                <w:rFonts w:ascii="宋体" w:hAnsi="宋体"/>
                <w:sz w:val="18"/>
                <w:szCs w:val="18"/>
              </w:rPr>
              <w:t>高黏韧性改性沥青施工温度</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1489" w:type="pct"/>
            <w:vAlign w:val="center"/>
          </w:tcPr>
          <w:p w14:paraId="1F92699D">
            <w:pPr>
              <w:spacing w:line="240" w:lineRule="auto"/>
              <w:jc w:val="center"/>
              <w:rPr>
                <w:rFonts w:ascii="宋体" w:hAnsi="宋体"/>
                <w:sz w:val="18"/>
                <w:szCs w:val="18"/>
              </w:rPr>
            </w:pPr>
            <w:r>
              <w:rPr>
                <w:rFonts w:ascii="宋体" w:hAnsi="宋体"/>
                <w:sz w:val="18"/>
                <w:szCs w:val="18"/>
              </w:rPr>
              <w:t>测量部位</w:t>
            </w:r>
          </w:p>
        </w:tc>
      </w:tr>
      <w:tr w14:paraId="64EB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42" w:type="pct"/>
            <w:vAlign w:val="center"/>
          </w:tcPr>
          <w:p w14:paraId="12CBE8B7">
            <w:pPr>
              <w:spacing w:line="240" w:lineRule="auto"/>
              <w:jc w:val="center"/>
              <w:rPr>
                <w:rFonts w:ascii="宋体" w:hAnsi="宋体"/>
                <w:sz w:val="18"/>
                <w:szCs w:val="18"/>
              </w:rPr>
            </w:pPr>
            <w:r>
              <w:rPr>
                <w:rFonts w:hint="eastAsia" w:ascii="宋体" w:hAnsi="宋体"/>
                <w:sz w:val="18"/>
                <w:szCs w:val="18"/>
              </w:rPr>
              <w:t>混合料到场温度</w:t>
            </w:r>
          </w:p>
        </w:tc>
        <w:tc>
          <w:tcPr>
            <w:tcW w:w="1769" w:type="pct"/>
            <w:vAlign w:val="center"/>
          </w:tcPr>
          <w:p w14:paraId="33AB8148">
            <w:pPr>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185</w:t>
            </w:r>
          </w:p>
        </w:tc>
        <w:tc>
          <w:tcPr>
            <w:tcW w:w="1489" w:type="pct"/>
            <w:vAlign w:val="center"/>
          </w:tcPr>
          <w:p w14:paraId="558B87F6">
            <w:pPr>
              <w:spacing w:line="240" w:lineRule="auto"/>
              <w:jc w:val="center"/>
              <w:rPr>
                <w:rFonts w:ascii="宋体" w:hAnsi="宋体"/>
                <w:sz w:val="18"/>
                <w:szCs w:val="18"/>
              </w:rPr>
            </w:pPr>
            <w:r>
              <w:rPr>
                <w:rFonts w:ascii="宋体" w:hAnsi="宋体"/>
                <w:sz w:val="18"/>
                <w:szCs w:val="18"/>
              </w:rPr>
              <w:t>运料车</w:t>
            </w:r>
          </w:p>
        </w:tc>
      </w:tr>
      <w:tr w14:paraId="3BB5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742" w:type="pct"/>
            <w:vAlign w:val="center"/>
          </w:tcPr>
          <w:p w14:paraId="476E8FEC">
            <w:pPr>
              <w:spacing w:line="240" w:lineRule="auto"/>
              <w:jc w:val="center"/>
              <w:rPr>
                <w:rFonts w:ascii="宋体" w:hAnsi="宋体"/>
                <w:sz w:val="18"/>
                <w:szCs w:val="18"/>
              </w:rPr>
            </w:pPr>
            <w:r>
              <w:rPr>
                <w:rFonts w:ascii="宋体" w:hAnsi="宋体"/>
                <w:sz w:val="18"/>
                <w:szCs w:val="18"/>
              </w:rPr>
              <w:t>摊铺温度</w:t>
            </w:r>
          </w:p>
        </w:tc>
        <w:tc>
          <w:tcPr>
            <w:tcW w:w="1769" w:type="pct"/>
            <w:vAlign w:val="center"/>
          </w:tcPr>
          <w:p w14:paraId="77941B6F">
            <w:pPr>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180</w:t>
            </w:r>
          </w:p>
        </w:tc>
        <w:tc>
          <w:tcPr>
            <w:tcW w:w="1489" w:type="pct"/>
            <w:vAlign w:val="center"/>
          </w:tcPr>
          <w:p w14:paraId="07ED7534">
            <w:pPr>
              <w:spacing w:line="240" w:lineRule="auto"/>
              <w:jc w:val="center"/>
              <w:rPr>
                <w:rFonts w:ascii="宋体" w:hAnsi="宋体"/>
                <w:sz w:val="18"/>
                <w:szCs w:val="18"/>
              </w:rPr>
            </w:pPr>
            <w:r>
              <w:rPr>
                <w:rFonts w:ascii="宋体" w:hAnsi="宋体"/>
                <w:sz w:val="18"/>
                <w:szCs w:val="18"/>
              </w:rPr>
              <w:t>摊铺机</w:t>
            </w:r>
            <w:r>
              <w:rPr>
                <w:rFonts w:hint="eastAsia" w:ascii="宋体" w:hAnsi="宋体"/>
                <w:sz w:val="18"/>
                <w:szCs w:val="18"/>
              </w:rPr>
              <w:t>后侧</w:t>
            </w:r>
          </w:p>
        </w:tc>
      </w:tr>
    </w:tbl>
    <w:p w14:paraId="4E469F83">
      <w:pPr>
        <w:pStyle w:val="73"/>
        <w:spacing w:before="156" w:after="156"/>
        <w:rPr>
          <w:rFonts w:ascii="宋体" w:hAnsi="宋体" w:eastAsia="宋体"/>
        </w:rPr>
      </w:pPr>
      <w:bookmarkStart w:id="267" w:name="_Toc183897620"/>
      <w:bookmarkStart w:id="268" w:name="_Toc183897544"/>
      <w:bookmarkStart w:id="269" w:name="_Toc183898305"/>
      <w:bookmarkStart w:id="270" w:name="_Toc176167861"/>
      <w:bookmarkStart w:id="271" w:name="_Toc183898458"/>
      <w:bookmarkStart w:id="272" w:name="OLE_LINK56"/>
      <w:r>
        <w:rPr>
          <w:rFonts w:hint="eastAsia" w:ascii="宋体" w:hAnsi="宋体" w:eastAsia="宋体"/>
        </w:rPr>
        <w:t>超薄罩面混合料摊铺的其他设备要求、质量控制应按JTG F40的有关规定执行。</w:t>
      </w:r>
    </w:p>
    <w:p w14:paraId="0662452D">
      <w:pPr>
        <w:pStyle w:val="113"/>
        <w:spacing w:before="156" w:after="156"/>
      </w:pPr>
      <w:bookmarkStart w:id="273" w:name="_Toc184997597"/>
      <w:r>
        <w:t>混合料压实</w:t>
      </w:r>
      <w:bookmarkEnd w:id="267"/>
      <w:bookmarkEnd w:id="268"/>
      <w:bookmarkEnd w:id="269"/>
      <w:bookmarkEnd w:id="270"/>
      <w:bookmarkEnd w:id="271"/>
      <w:bookmarkEnd w:id="273"/>
    </w:p>
    <w:p w14:paraId="030487FF">
      <w:pPr>
        <w:pStyle w:val="73"/>
        <w:spacing w:before="156" w:after="156"/>
        <w:rPr>
          <w:rFonts w:ascii="宋体" w:hAnsi="宋体" w:eastAsia="宋体"/>
        </w:rPr>
      </w:pPr>
      <w:r>
        <w:rPr>
          <w:rFonts w:ascii="宋体" w:hAnsi="宋体" w:eastAsia="宋体"/>
        </w:rPr>
        <w:t>压路机应紧跟摊铺机进行轻振碾压，以尽快使表面压实，减少热量散失。</w:t>
      </w:r>
    </w:p>
    <w:p w14:paraId="57879C36">
      <w:pPr>
        <w:pStyle w:val="73"/>
        <w:spacing w:before="156" w:after="156"/>
      </w:pPr>
      <w:r>
        <w:rPr>
          <w:rFonts w:hint="eastAsia" w:ascii="宋体" w:hAnsi="宋体" w:eastAsia="宋体"/>
        </w:rPr>
        <w:t>超薄罩面用沥青混合料压实工艺控制宜符合表</w:t>
      </w:r>
      <w:r>
        <w:rPr>
          <w:rFonts w:ascii="宋体" w:hAnsi="宋体" w:eastAsia="宋体"/>
        </w:rPr>
        <w:t>1</w:t>
      </w:r>
      <w:r>
        <w:rPr>
          <w:rFonts w:hint="eastAsia" w:ascii="宋体" w:hAnsi="宋体" w:eastAsia="宋体"/>
        </w:rPr>
        <w:t>2的规定，可结合试验段情况进行调整。</w:t>
      </w:r>
      <w:r>
        <w:rPr>
          <w:rFonts w:hint="eastAsia"/>
        </w:rPr>
        <w:br w:type="page"/>
      </w:r>
    </w:p>
    <w:p w14:paraId="7C5C95FF">
      <w:pPr>
        <w:pStyle w:val="120"/>
        <w:spacing w:before="156" w:after="156"/>
      </w:pPr>
      <w:r>
        <w:rPr>
          <w:rFonts w:hint="eastAsia"/>
        </w:rPr>
        <w:t>压实工艺控制</w:t>
      </w:r>
    </w:p>
    <w:tbl>
      <w:tblPr>
        <w:tblStyle w:val="3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8"/>
        <w:gridCol w:w="3174"/>
        <w:gridCol w:w="3107"/>
      </w:tblGrid>
      <w:tr w14:paraId="5E4A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pct"/>
            <w:vAlign w:val="center"/>
          </w:tcPr>
          <w:p w14:paraId="06F356B8">
            <w:pPr>
              <w:adjustRightInd/>
              <w:spacing w:line="360" w:lineRule="auto"/>
              <w:jc w:val="center"/>
              <w:rPr>
                <w:rFonts w:ascii="宋体" w:hAnsi="宋体"/>
                <w:sz w:val="18"/>
                <w:szCs w:val="18"/>
              </w:rPr>
            </w:pPr>
            <w:r>
              <w:rPr>
                <w:rFonts w:ascii="宋体" w:hAnsi="宋体"/>
                <w:sz w:val="18"/>
                <w:szCs w:val="18"/>
              </w:rPr>
              <w:t>压实工序</w:t>
            </w:r>
          </w:p>
        </w:tc>
        <w:tc>
          <w:tcPr>
            <w:tcW w:w="1660" w:type="pct"/>
            <w:vAlign w:val="center"/>
          </w:tcPr>
          <w:p w14:paraId="405286B8">
            <w:pPr>
              <w:adjustRightInd/>
              <w:spacing w:line="360" w:lineRule="auto"/>
              <w:jc w:val="center"/>
              <w:rPr>
                <w:rFonts w:ascii="宋体" w:hAnsi="宋体"/>
                <w:sz w:val="18"/>
                <w:szCs w:val="18"/>
              </w:rPr>
            </w:pPr>
            <w:r>
              <w:rPr>
                <w:rFonts w:ascii="宋体" w:hAnsi="宋体"/>
                <w:sz w:val="18"/>
                <w:szCs w:val="18"/>
              </w:rPr>
              <w:t>初压</w:t>
            </w:r>
          </w:p>
        </w:tc>
        <w:tc>
          <w:tcPr>
            <w:tcW w:w="1625" w:type="pct"/>
            <w:vAlign w:val="center"/>
          </w:tcPr>
          <w:p w14:paraId="39070B53">
            <w:pPr>
              <w:adjustRightInd/>
              <w:spacing w:line="360" w:lineRule="auto"/>
              <w:jc w:val="center"/>
              <w:rPr>
                <w:rFonts w:ascii="宋体" w:hAnsi="宋体"/>
                <w:sz w:val="18"/>
                <w:szCs w:val="18"/>
              </w:rPr>
            </w:pPr>
            <w:r>
              <w:rPr>
                <w:rFonts w:ascii="宋体" w:hAnsi="宋体"/>
                <w:sz w:val="18"/>
                <w:szCs w:val="18"/>
              </w:rPr>
              <w:t>复压</w:t>
            </w:r>
          </w:p>
        </w:tc>
      </w:tr>
      <w:tr w14:paraId="7896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pct"/>
            <w:vAlign w:val="center"/>
          </w:tcPr>
          <w:p w14:paraId="6049E7B0">
            <w:pPr>
              <w:adjustRightInd/>
              <w:spacing w:line="360" w:lineRule="auto"/>
              <w:jc w:val="center"/>
              <w:rPr>
                <w:rFonts w:ascii="宋体" w:hAnsi="宋体"/>
                <w:sz w:val="18"/>
                <w:szCs w:val="18"/>
              </w:rPr>
            </w:pPr>
            <w:r>
              <w:rPr>
                <w:rFonts w:ascii="宋体" w:hAnsi="宋体"/>
                <w:sz w:val="18"/>
                <w:szCs w:val="18"/>
              </w:rPr>
              <w:t>压路机类型</w:t>
            </w:r>
          </w:p>
        </w:tc>
        <w:tc>
          <w:tcPr>
            <w:tcW w:w="1660" w:type="pct"/>
            <w:vAlign w:val="center"/>
          </w:tcPr>
          <w:p w14:paraId="0E4A3F74">
            <w:pPr>
              <w:adjustRightInd/>
              <w:spacing w:line="360" w:lineRule="auto"/>
              <w:jc w:val="center"/>
              <w:rPr>
                <w:rFonts w:ascii="宋体" w:hAnsi="宋体"/>
                <w:sz w:val="18"/>
                <w:szCs w:val="18"/>
              </w:rPr>
            </w:pPr>
            <w:r>
              <w:rPr>
                <w:rFonts w:ascii="宋体" w:hAnsi="宋体"/>
                <w:sz w:val="18"/>
                <w:szCs w:val="18"/>
              </w:rPr>
              <w:t>双钢轮</w:t>
            </w:r>
          </w:p>
        </w:tc>
        <w:tc>
          <w:tcPr>
            <w:tcW w:w="1625" w:type="pct"/>
            <w:vAlign w:val="center"/>
          </w:tcPr>
          <w:p w14:paraId="517109ED">
            <w:pPr>
              <w:adjustRightInd/>
              <w:spacing w:line="360" w:lineRule="auto"/>
              <w:jc w:val="center"/>
              <w:rPr>
                <w:rFonts w:ascii="宋体" w:hAnsi="宋体"/>
                <w:sz w:val="18"/>
                <w:szCs w:val="18"/>
              </w:rPr>
            </w:pPr>
            <w:r>
              <w:rPr>
                <w:rFonts w:ascii="宋体" w:hAnsi="宋体"/>
                <w:sz w:val="18"/>
                <w:szCs w:val="18"/>
              </w:rPr>
              <w:t>双钢轮</w:t>
            </w:r>
          </w:p>
        </w:tc>
      </w:tr>
      <w:tr w14:paraId="27308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pct"/>
            <w:vAlign w:val="center"/>
          </w:tcPr>
          <w:p w14:paraId="447FF3AC">
            <w:pPr>
              <w:adjustRightInd/>
              <w:spacing w:line="360" w:lineRule="auto"/>
              <w:jc w:val="center"/>
              <w:rPr>
                <w:rFonts w:ascii="宋体" w:hAnsi="宋体"/>
                <w:sz w:val="18"/>
                <w:szCs w:val="18"/>
              </w:rPr>
            </w:pPr>
            <w:r>
              <w:rPr>
                <w:rFonts w:ascii="宋体" w:hAnsi="宋体"/>
                <w:sz w:val="18"/>
                <w:szCs w:val="18"/>
              </w:rPr>
              <w:t>振动压路机</w:t>
            </w:r>
          </w:p>
        </w:tc>
        <w:tc>
          <w:tcPr>
            <w:tcW w:w="1660" w:type="pct"/>
            <w:vAlign w:val="center"/>
          </w:tcPr>
          <w:p w14:paraId="7BB3E586">
            <w:pPr>
              <w:adjustRightInd/>
              <w:spacing w:line="360" w:lineRule="auto"/>
              <w:jc w:val="center"/>
              <w:rPr>
                <w:rFonts w:ascii="宋体" w:hAnsi="宋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遍（轻振）</w:t>
            </w:r>
          </w:p>
        </w:tc>
        <w:tc>
          <w:tcPr>
            <w:tcW w:w="1625" w:type="pct"/>
            <w:vAlign w:val="center"/>
          </w:tcPr>
          <w:p w14:paraId="3F792FEE">
            <w:pPr>
              <w:adjustRightInd/>
              <w:spacing w:line="360" w:lineRule="auto"/>
              <w:jc w:val="center"/>
              <w:rPr>
                <w:rFonts w:ascii="宋体" w:hAnsi="宋体"/>
                <w:sz w:val="18"/>
                <w:szCs w:val="18"/>
              </w:rPr>
            </w:pPr>
            <w:r>
              <w:rPr>
                <w:rFonts w:hint="eastAsia" w:ascii="宋体" w:hAnsi="宋体"/>
                <w:sz w:val="18"/>
                <w:szCs w:val="18"/>
              </w:rPr>
              <w:t>静压</w:t>
            </w:r>
          </w:p>
        </w:tc>
      </w:tr>
      <w:tr w14:paraId="41C6B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pct"/>
            <w:vAlign w:val="center"/>
          </w:tcPr>
          <w:p w14:paraId="0BB0D31A">
            <w:pPr>
              <w:adjustRightInd/>
              <w:spacing w:line="360" w:lineRule="auto"/>
              <w:jc w:val="center"/>
              <w:rPr>
                <w:rFonts w:ascii="宋体" w:hAnsi="宋体"/>
                <w:sz w:val="18"/>
                <w:szCs w:val="18"/>
              </w:rPr>
            </w:pPr>
            <w:r>
              <w:rPr>
                <w:rFonts w:ascii="宋体" w:hAnsi="宋体"/>
                <w:sz w:val="18"/>
                <w:szCs w:val="18"/>
              </w:rPr>
              <w:t>温度控制</w:t>
            </w:r>
            <w:r>
              <w:rPr>
                <w:rFonts w:hint="eastAsia" w:ascii="宋体" w:hAnsi="宋体"/>
                <w:sz w:val="18"/>
                <w:szCs w:val="18"/>
              </w:rPr>
              <w:t>/（</w:t>
            </w:r>
            <w:r>
              <w:rPr>
                <w:rFonts w:ascii="宋体" w:hAnsi="宋体"/>
                <w:sz w:val="18"/>
                <w:szCs w:val="18"/>
              </w:rPr>
              <w:t>℃</w:t>
            </w:r>
            <w:r>
              <w:rPr>
                <w:rFonts w:hint="eastAsia" w:ascii="宋体" w:hAnsi="宋体"/>
                <w:sz w:val="18"/>
                <w:szCs w:val="18"/>
              </w:rPr>
              <w:t>）</w:t>
            </w:r>
          </w:p>
        </w:tc>
        <w:tc>
          <w:tcPr>
            <w:tcW w:w="1660" w:type="pct"/>
            <w:vAlign w:val="center"/>
          </w:tcPr>
          <w:p w14:paraId="199F3163">
            <w:pPr>
              <w:adjustRightInd/>
              <w:spacing w:line="360" w:lineRule="auto"/>
              <w:jc w:val="center"/>
              <w:rPr>
                <w:rFonts w:ascii="宋体" w:hAnsi="宋体"/>
                <w:sz w:val="18"/>
                <w:szCs w:val="18"/>
              </w:rPr>
            </w:pPr>
            <w:r>
              <w:rPr>
                <w:rFonts w:ascii="宋体" w:hAnsi="宋体"/>
                <w:sz w:val="18"/>
                <w:szCs w:val="18"/>
              </w:rPr>
              <w:t>≥180</w:t>
            </w:r>
          </w:p>
        </w:tc>
        <w:tc>
          <w:tcPr>
            <w:tcW w:w="1625" w:type="pct"/>
            <w:vAlign w:val="center"/>
          </w:tcPr>
          <w:p w14:paraId="0B366B80">
            <w:pPr>
              <w:adjustRightInd/>
              <w:spacing w:line="360" w:lineRule="auto"/>
              <w:jc w:val="center"/>
              <w:rPr>
                <w:rFonts w:ascii="宋体" w:hAnsi="宋体"/>
                <w:sz w:val="18"/>
                <w:szCs w:val="18"/>
              </w:rPr>
            </w:pPr>
            <w:r>
              <w:rPr>
                <w:rFonts w:ascii="宋体" w:hAnsi="宋体"/>
                <w:sz w:val="18"/>
                <w:szCs w:val="18"/>
              </w:rPr>
              <w:t>≥170</w:t>
            </w:r>
          </w:p>
        </w:tc>
      </w:tr>
      <w:tr w14:paraId="10354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pct"/>
            <w:vAlign w:val="center"/>
          </w:tcPr>
          <w:p w14:paraId="7FE913DF">
            <w:pPr>
              <w:adjustRightInd/>
              <w:spacing w:line="360" w:lineRule="auto"/>
              <w:jc w:val="center"/>
              <w:rPr>
                <w:rFonts w:ascii="宋体" w:hAnsi="宋体"/>
                <w:sz w:val="18"/>
                <w:szCs w:val="18"/>
              </w:rPr>
            </w:pPr>
            <w:r>
              <w:rPr>
                <w:rFonts w:hint="eastAsia" w:ascii="宋体" w:hAnsi="宋体"/>
                <w:sz w:val="18"/>
                <w:szCs w:val="18"/>
              </w:rPr>
              <w:t>碾压速度/（</w:t>
            </w:r>
            <w:r>
              <w:rPr>
                <w:rFonts w:ascii="宋体" w:hAnsi="宋体"/>
                <w:sz w:val="18"/>
                <w:szCs w:val="18"/>
              </w:rPr>
              <w:t>km/h</w:t>
            </w:r>
            <w:r>
              <w:rPr>
                <w:rFonts w:hint="eastAsia" w:ascii="宋体" w:hAnsi="宋体"/>
                <w:sz w:val="18"/>
                <w:szCs w:val="18"/>
              </w:rPr>
              <w:t>）</w:t>
            </w:r>
          </w:p>
        </w:tc>
        <w:tc>
          <w:tcPr>
            <w:tcW w:w="1660" w:type="pct"/>
            <w:vAlign w:val="center"/>
          </w:tcPr>
          <w:p w14:paraId="2BAC3CC9">
            <w:pPr>
              <w:adjustRightInd/>
              <w:spacing w:line="360" w:lineRule="auto"/>
              <w:jc w:val="center"/>
              <w:rPr>
                <w:rFonts w:ascii="宋体" w:hAnsi="宋体"/>
                <w:sz w:val="18"/>
                <w:szCs w:val="18"/>
              </w:rPr>
            </w:pPr>
            <w:r>
              <w:rPr>
                <w:rFonts w:ascii="宋体" w:hAnsi="宋体"/>
                <w:sz w:val="18"/>
                <w:szCs w:val="18"/>
              </w:rPr>
              <w:t>2～3</w:t>
            </w:r>
          </w:p>
        </w:tc>
        <w:tc>
          <w:tcPr>
            <w:tcW w:w="1625" w:type="pct"/>
            <w:vAlign w:val="center"/>
          </w:tcPr>
          <w:p w14:paraId="09A4BEB8">
            <w:pPr>
              <w:adjustRightInd/>
              <w:spacing w:line="360" w:lineRule="auto"/>
              <w:jc w:val="center"/>
              <w:rPr>
                <w:rFonts w:ascii="宋体" w:hAnsi="宋体"/>
                <w:sz w:val="18"/>
                <w:szCs w:val="18"/>
              </w:rPr>
            </w:pPr>
            <w:r>
              <w:rPr>
                <w:rFonts w:ascii="宋体" w:hAnsi="宋体"/>
                <w:sz w:val="18"/>
                <w:szCs w:val="18"/>
              </w:rPr>
              <w:t>3～4.5</w:t>
            </w:r>
          </w:p>
        </w:tc>
      </w:tr>
      <w:bookmarkEnd w:id="272"/>
    </w:tbl>
    <w:p w14:paraId="671F9E92">
      <w:pPr>
        <w:pStyle w:val="73"/>
        <w:spacing w:before="156" w:after="156"/>
      </w:pPr>
      <w:bookmarkStart w:id="274" w:name="_Toc183897545"/>
      <w:bookmarkStart w:id="275" w:name="_Toc183898306"/>
      <w:bookmarkStart w:id="276" w:name="_Toc183897621"/>
      <w:bookmarkStart w:id="277" w:name="_Toc183898587"/>
      <w:bookmarkStart w:id="278" w:name="_Toc176167863"/>
      <w:bookmarkStart w:id="279" w:name="_Toc183898459"/>
      <w:r>
        <w:rPr>
          <w:rFonts w:hint="eastAsia" w:ascii="宋体" w:hAnsi="宋体" w:eastAsia="宋体"/>
        </w:rPr>
        <w:t>超薄罩面混合料压实的其他设备要求、质量控制</w:t>
      </w:r>
      <w:bookmarkStart w:id="280" w:name="_Hlk185151470"/>
      <w:r>
        <w:rPr>
          <w:rFonts w:hint="eastAsia" w:ascii="宋体" w:hAnsi="宋体" w:eastAsia="宋体"/>
        </w:rPr>
        <w:t>应按JTG F40的有关规定执行</w:t>
      </w:r>
      <w:bookmarkEnd w:id="280"/>
      <w:r>
        <w:rPr>
          <w:rFonts w:hint="eastAsia" w:ascii="宋体" w:hAnsi="宋体" w:eastAsia="宋体"/>
        </w:rPr>
        <w:t>。</w:t>
      </w:r>
    </w:p>
    <w:p w14:paraId="43134345">
      <w:pPr>
        <w:pStyle w:val="112"/>
        <w:spacing w:before="312" w:after="312"/>
      </w:pPr>
      <w:bookmarkStart w:id="281" w:name="_Toc184997598"/>
      <w:r>
        <w:t>质量管理与验收</w:t>
      </w:r>
      <w:bookmarkEnd w:id="274"/>
      <w:bookmarkEnd w:id="275"/>
      <w:bookmarkEnd w:id="276"/>
      <w:bookmarkEnd w:id="277"/>
      <w:bookmarkEnd w:id="278"/>
      <w:bookmarkEnd w:id="279"/>
      <w:bookmarkEnd w:id="281"/>
    </w:p>
    <w:p w14:paraId="55088E0C">
      <w:pPr>
        <w:pStyle w:val="113"/>
        <w:spacing w:before="156" w:after="156"/>
      </w:pPr>
      <w:bookmarkStart w:id="282" w:name="_Toc183898307"/>
      <w:bookmarkStart w:id="283" w:name="_Toc184997599"/>
      <w:bookmarkStart w:id="284" w:name="_Toc176167866"/>
      <w:bookmarkStart w:id="285" w:name="_Toc183898460"/>
      <w:bookmarkStart w:id="286" w:name="_Toc183897546"/>
      <w:bookmarkStart w:id="287" w:name="_Toc183897622"/>
      <w:r>
        <w:t>质量管理</w:t>
      </w:r>
      <w:bookmarkEnd w:id="282"/>
      <w:bookmarkEnd w:id="283"/>
      <w:bookmarkEnd w:id="284"/>
      <w:bookmarkEnd w:id="285"/>
      <w:bookmarkEnd w:id="286"/>
      <w:bookmarkEnd w:id="287"/>
    </w:p>
    <w:p w14:paraId="443E5659">
      <w:pPr>
        <w:pStyle w:val="73"/>
        <w:spacing w:before="156" w:after="156"/>
        <w:rPr>
          <w:rFonts w:ascii="宋体" w:hAnsi="宋体" w:eastAsia="宋体"/>
        </w:rPr>
      </w:pPr>
      <w:bookmarkStart w:id="288" w:name="_Toc183897547"/>
      <w:r>
        <w:rPr>
          <w:rFonts w:hint="eastAsia" w:ascii="宋体" w:hAnsi="宋体" w:eastAsia="宋体"/>
        </w:rPr>
        <w:t>超薄罩面粘结层施工前应测试层间联结效果，超薄罩面层与原路面之间的联结</w:t>
      </w:r>
      <w:r>
        <w:rPr>
          <w:rFonts w:ascii="宋体" w:hAnsi="宋体" w:eastAsia="宋体"/>
        </w:rPr>
        <w:t>应符合</w:t>
      </w:r>
      <w:r>
        <w:rPr>
          <w:rFonts w:hint="eastAsia" w:ascii="宋体" w:hAnsi="宋体" w:eastAsia="宋体"/>
        </w:rPr>
        <w:t>表13中的规定。</w:t>
      </w:r>
      <w:bookmarkEnd w:id="288"/>
    </w:p>
    <w:p w14:paraId="26837511">
      <w:pPr>
        <w:pStyle w:val="120"/>
        <w:spacing w:before="156" w:after="156"/>
      </w:pPr>
      <w:r>
        <w:rPr>
          <w:rFonts w:hint="eastAsia"/>
        </w:rPr>
        <w:t>层间联结</w:t>
      </w:r>
      <w:r>
        <w:t>技术要求与试验方法</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3555"/>
        <w:gridCol w:w="2704"/>
        <w:gridCol w:w="3125"/>
      </w:tblGrid>
      <w:tr w14:paraId="50425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894" w:type="pct"/>
            <w:vAlign w:val="center"/>
          </w:tcPr>
          <w:p w14:paraId="1C2ED3C3">
            <w:pPr>
              <w:widowControl/>
              <w:spacing w:line="240" w:lineRule="auto"/>
              <w:jc w:val="center"/>
              <w:rPr>
                <w:rFonts w:ascii="宋体" w:hAnsi="宋体"/>
                <w:kern w:val="0"/>
                <w:sz w:val="18"/>
                <w:szCs w:val="18"/>
              </w:rPr>
            </w:pPr>
            <w:r>
              <w:rPr>
                <w:rFonts w:ascii="宋体" w:hAnsi="宋体"/>
                <w:kern w:val="0"/>
                <w:sz w:val="18"/>
                <w:szCs w:val="18"/>
              </w:rPr>
              <w:t>试验项目</w:t>
            </w:r>
          </w:p>
        </w:tc>
        <w:tc>
          <w:tcPr>
            <w:tcW w:w="1441" w:type="pct"/>
            <w:vAlign w:val="center"/>
          </w:tcPr>
          <w:p w14:paraId="4B7E975D">
            <w:pPr>
              <w:spacing w:line="240" w:lineRule="auto"/>
              <w:jc w:val="center"/>
              <w:rPr>
                <w:rFonts w:ascii="宋体" w:hAnsi="宋体"/>
                <w:kern w:val="0"/>
                <w:sz w:val="18"/>
                <w:szCs w:val="18"/>
              </w:rPr>
            </w:pPr>
            <w:r>
              <w:rPr>
                <w:rFonts w:ascii="宋体" w:hAnsi="宋体"/>
                <w:kern w:val="0"/>
                <w:sz w:val="18"/>
                <w:szCs w:val="18"/>
              </w:rPr>
              <w:t>技术要求</w:t>
            </w:r>
          </w:p>
        </w:tc>
        <w:tc>
          <w:tcPr>
            <w:tcW w:w="1665" w:type="pct"/>
            <w:vAlign w:val="center"/>
          </w:tcPr>
          <w:p w14:paraId="5281951D">
            <w:pPr>
              <w:widowControl/>
              <w:spacing w:line="240" w:lineRule="auto"/>
              <w:jc w:val="center"/>
              <w:rPr>
                <w:rFonts w:ascii="宋体" w:hAnsi="宋体"/>
                <w:kern w:val="0"/>
                <w:sz w:val="18"/>
                <w:szCs w:val="18"/>
              </w:rPr>
            </w:pPr>
            <w:r>
              <w:rPr>
                <w:rFonts w:ascii="宋体" w:hAnsi="宋体"/>
                <w:kern w:val="0"/>
                <w:sz w:val="18"/>
                <w:szCs w:val="18"/>
              </w:rPr>
              <w:t>试验方法</w:t>
            </w:r>
          </w:p>
        </w:tc>
      </w:tr>
      <w:tr w14:paraId="6E56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7" w:hRule="atLeast"/>
          <w:jc w:val="center"/>
        </w:trPr>
        <w:tc>
          <w:tcPr>
            <w:tcW w:w="1894" w:type="pct"/>
            <w:vAlign w:val="center"/>
          </w:tcPr>
          <w:p w14:paraId="1C994F22">
            <w:pPr>
              <w:widowControl/>
              <w:spacing w:line="240" w:lineRule="auto"/>
              <w:jc w:val="center"/>
              <w:rPr>
                <w:rFonts w:ascii="宋体" w:hAnsi="宋体"/>
                <w:kern w:val="0"/>
                <w:sz w:val="18"/>
                <w:szCs w:val="18"/>
              </w:rPr>
            </w:pPr>
            <w:r>
              <w:rPr>
                <w:rFonts w:ascii="宋体" w:hAnsi="宋体"/>
                <w:kern w:val="0"/>
                <w:sz w:val="18"/>
                <w:szCs w:val="18"/>
              </w:rPr>
              <w:t>拉拔强度</w:t>
            </w:r>
            <w:r>
              <w:rPr>
                <w:rFonts w:hint="eastAsia" w:ascii="宋体" w:hAnsi="宋体"/>
                <w:kern w:val="0"/>
                <w:sz w:val="18"/>
                <w:szCs w:val="18"/>
              </w:rPr>
              <w:t>、</w:t>
            </w:r>
            <w:r>
              <w:rPr>
                <w:rFonts w:ascii="宋体" w:hAnsi="宋体"/>
                <w:kern w:val="0"/>
                <w:sz w:val="18"/>
                <w:szCs w:val="18"/>
              </w:rPr>
              <w:t>剪切强度（25℃）</w:t>
            </w:r>
            <w:r>
              <w:rPr>
                <w:rFonts w:hint="eastAsia" w:ascii="宋体" w:hAnsi="宋体"/>
                <w:kern w:val="0"/>
                <w:sz w:val="18"/>
                <w:szCs w:val="18"/>
              </w:rPr>
              <w:t>/</w:t>
            </w:r>
            <w:r>
              <w:rPr>
                <w:rFonts w:ascii="宋体" w:hAnsi="宋体"/>
                <w:kern w:val="0"/>
                <w:sz w:val="18"/>
                <w:szCs w:val="18"/>
              </w:rPr>
              <w:t>（MPa）</w:t>
            </w:r>
          </w:p>
        </w:tc>
        <w:tc>
          <w:tcPr>
            <w:tcW w:w="1441" w:type="pct"/>
            <w:vAlign w:val="center"/>
          </w:tcPr>
          <w:p w14:paraId="407D98C1">
            <w:pPr>
              <w:widowControl/>
              <w:spacing w:line="240" w:lineRule="auto"/>
              <w:jc w:val="center"/>
              <w:rPr>
                <w:rFonts w:ascii="宋体" w:hAnsi="宋体"/>
                <w:color w:val="000000"/>
                <w:kern w:val="0"/>
                <w:sz w:val="18"/>
                <w:szCs w:val="18"/>
              </w:rPr>
            </w:pPr>
            <w:r>
              <w:rPr>
                <w:rFonts w:ascii="宋体" w:hAnsi="宋体"/>
                <w:color w:val="000000"/>
                <w:kern w:val="0"/>
                <w:sz w:val="18"/>
                <w:szCs w:val="18"/>
              </w:rPr>
              <w:t>≥0.85</w:t>
            </w:r>
          </w:p>
        </w:tc>
        <w:tc>
          <w:tcPr>
            <w:tcW w:w="1665" w:type="pct"/>
            <w:vAlign w:val="center"/>
          </w:tcPr>
          <w:p w14:paraId="2D59EFF1">
            <w:pPr>
              <w:widowControl/>
              <w:spacing w:line="240" w:lineRule="auto"/>
              <w:jc w:val="center"/>
              <w:rPr>
                <w:rFonts w:ascii="宋体" w:hAnsi="宋体"/>
                <w:kern w:val="0"/>
                <w:sz w:val="18"/>
                <w:szCs w:val="18"/>
              </w:rPr>
            </w:pPr>
            <w:r>
              <w:rPr>
                <w:rFonts w:hint="eastAsia" w:ascii="宋体" w:hAnsi="宋体"/>
                <w:sz w:val="18"/>
                <w:szCs w:val="18"/>
              </w:rPr>
              <w:t>可采用附录</w:t>
            </w:r>
            <w:r>
              <w:rPr>
                <w:rFonts w:ascii="宋体" w:hAnsi="宋体"/>
                <w:sz w:val="18"/>
                <w:szCs w:val="18"/>
              </w:rPr>
              <w:t>D</w:t>
            </w:r>
            <w:r>
              <w:rPr>
                <w:rFonts w:hint="eastAsia" w:ascii="宋体" w:hAnsi="宋体"/>
                <w:sz w:val="18"/>
                <w:szCs w:val="18"/>
              </w:rPr>
              <w:t>给出的方法</w:t>
            </w:r>
          </w:p>
        </w:tc>
      </w:tr>
    </w:tbl>
    <w:p w14:paraId="1196BBE7">
      <w:pPr>
        <w:pStyle w:val="73"/>
        <w:spacing w:before="156" w:after="156"/>
        <w:rPr>
          <w:rFonts w:ascii="宋体" w:hAnsi="宋体" w:eastAsia="宋体"/>
        </w:rPr>
      </w:pPr>
      <w:bookmarkStart w:id="289" w:name="_Toc183897548"/>
      <w:r>
        <w:rPr>
          <w:rFonts w:hint="eastAsia" w:ascii="宋体" w:hAnsi="宋体" w:eastAsia="宋体"/>
        </w:rPr>
        <w:t>粘结层铺筑前应进行试洒，确定洒布车工作状态和洒布效果</w:t>
      </w:r>
      <w:bookmarkEnd w:id="289"/>
      <w:bookmarkStart w:id="290" w:name="_Toc183897538"/>
      <w:r>
        <w:rPr>
          <w:rFonts w:hint="eastAsia" w:ascii="宋体" w:hAnsi="宋体" w:eastAsia="宋体"/>
        </w:rPr>
        <w:t>。粘结层沥青洒布量宜采用现场取样检测法和总量复核法进行双重控制，根据检测和核算结果及时进行动态调整</w:t>
      </w:r>
      <w:bookmarkEnd w:id="290"/>
      <w:r>
        <w:rPr>
          <w:rFonts w:hint="eastAsia" w:ascii="宋体" w:hAnsi="宋体" w:eastAsia="宋体"/>
        </w:rPr>
        <w:t>，检测项目与频率</w:t>
      </w:r>
      <w:r>
        <w:rPr>
          <w:rFonts w:ascii="宋体" w:hAnsi="宋体" w:eastAsia="宋体"/>
        </w:rPr>
        <w:t>应符合</w:t>
      </w:r>
      <w:r>
        <w:rPr>
          <w:rFonts w:hint="eastAsia" w:ascii="宋体" w:hAnsi="宋体" w:eastAsia="宋体"/>
        </w:rPr>
        <w:t>表14中的规定。</w:t>
      </w:r>
    </w:p>
    <w:p w14:paraId="5EB33B99">
      <w:pPr>
        <w:pStyle w:val="120"/>
        <w:spacing w:before="156" w:after="156"/>
      </w:pPr>
      <w:r>
        <w:t>施工</w:t>
      </w:r>
      <w:r>
        <w:rPr>
          <w:rFonts w:hint="eastAsia"/>
        </w:rPr>
        <w:t>过程粘结层</w:t>
      </w:r>
      <w:r>
        <w:t>质量检测</w:t>
      </w:r>
      <w:r>
        <w:rPr>
          <w:rFonts w:hint="eastAsia"/>
        </w:rPr>
        <w:t>项目及频率</w:t>
      </w:r>
    </w:p>
    <w:tbl>
      <w:tblPr>
        <w:tblStyle w:val="3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6"/>
        <w:gridCol w:w="2783"/>
        <w:gridCol w:w="3191"/>
      </w:tblGrid>
      <w:tr w14:paraId="1E7E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79" w:type="pct"/>
            <w:vAlign w:val="center"/>
          </w:tcPr>
          <w:p w14:paraId="1D023CA4">
            <w:pPr>
              <w:snapToGrid w:val="0"/>
              <w:spacing w:line="240" w:lineRule="auto"/>
              <w:jc w:val="center"/>
              <w:rPr>
                <w:rFonts w:ascii="宋体" w:hAnsi="宋体"/>
                <w:sz w:val="18"/>
                <w:szCs w:val="18"/>
              </w:rPr>
            </w:pPr>
            <w:r>
              <w:rPr>
                <w:rFonts w:ascii="宋体" w:hAnsi="宋体"/>
                <w:sz w:val="18"/>
                <w:szCs w:val="18"/>
              </w:rPr>
              <w:t>检测项目</w:t>
            </w:r>
          </w:p>
        </w:tc>
        <w:tc>
          <w:tcPr>
            <w:tcW w:w="1454" w:type="pct"/>
            <w:vAlign w:val="center"/>
          </w:tcPr>
          <w:p w14:paraId="79DD342B">
            <w:pPr>
              <w:snapToGrid w:val="0"/>
              <w:spacing w:line="240" w:lineRule="auto"/>
              <w:jc w:val="center"/>
              <w:rPr>
                <w:rFonts w:ascii="宋体" w:hAnsi="宋体"/>
                <w:sz w:val="18"/>
                <w:szCs w:val="18"/>
              </w:rPr>
            </w:pPr>
            <w:r>
              <w:rPr>
                <w:rFonts w:ascii="宋体" w:hAnsi="宋体"/>
                <w:sz w:val="18"/>
                <w:szCs w:val="18"/>
              </w:rPr>
              <w:t>检测频度</w:t>
            </w:r>
          </w:p>
        </w:tc>
        <w:tc>
          <w:tcPr>
            <w:tcW w:w="1667" w:type="pct"/>
            <w:vAlign w:val="center"/>
          </w:tcPr>
          <w:p w14:paraId="36275899">
            <w:pPr>
              <w:snapToGrid w:val="0"/>
              <w:spacing w:line="240" w:lineRule="auto"/>
              <w:jc w:val="center"/>
              <w:rPr>
                <w:rFonts w:ascii="宋体" w:hAnsi="宋体"/>
                <w:sz w:val="18"/>
                <w:szCs w:val="18"/>
              </w:rPr>
            </w:pPr>
            <w:r>
              <w:rPr>
                <w:rFonts w:ascii="宋体" w:hAnsi="宋体"/>
                <w:sz w:val="18"/>
                <w:szCs w:val="18"/>
              </w:rPr>
              <w:t>试验</w:t>
            </w:r>
            <w:r>
              <w:rPr>
                <w:rFonts w:hint="eastAsia" w:ascii="宋体" w:hAnsi="宋体"/>
                <w:sz w:val="18"/>
                <w:szCs w:val="18"/>
              </w:rPr>
              <w:t>或计算</w:t>
            </w:r>
            <w:r>
              <w:rPr>
                <w:rFonts w:ascii="宋体" w:hAnsi="宋体"/>
                <w:sz w:val="18"/>
                <w:szCs w:val="18"/>
              </w:rPr>
              <w:t>方法</w:t>
            </w:r>
          </w:p>
        </w:tc>
      </w:tr>
      <w:tr w14:paraId="4201E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79" w:type="pct"/>
            <w:vAlign w:val="center"/>
          </w:tcPr>
          <w:p w14:paraId="7CAE047E">
            <w:pPr>
              <w:snapToGrid w:val="0"/>
              <w:spacing w:line="240" w:lineRule="auto"/>
              <w:jc w:val="center"/>
              <w:rPr>
                <w:rFonts w:ascii="宋体" w:hAnsi="宋体"/>
                <w:sz w:val="18"/>
                <w:szCs w:val="18"/>
              </w:rPr>
            </w:pPr>
            <w:r>
              <w:rPr>
                <w:rFonts w:ascii="宋体" w:hAnsi="宋体"/>
                <w:sz w:val="18"/>
                <w:szCs w:val="18"/>
              </w:rPr>
              <w:t>现场洒布量抽样检测</w:t>
            </w:r>
          </w:p>
        </w:tc>
        <w:tc>
          <w:tcPr>
            <w:tcW w:w="1454" w:type="pct"/>
            <w:vAlign w:val="center"/>
          </w:tcPr>
          <w:p w14:paraId="3AEF5839">
            <w:pPr>
              <w:snapToGrid w:val="0"/>
              <w:spacing w:line="240" w:lineRule="auto"/>
              <w:jc w:val="center"/>
              <w:rPr>
                <w:rFonts w:ascii="宋体" w:hAnsi="宋体"/>
                <w:sz w:val="18"/>
                <w:szCs w:val="18"/>
              </w:rPr>
            </w:pPr>
            <w:r>
              <w:rPr>
                <w:rFonts w:hint="eastAsia" w:ascii="宋体" w:hAnsi="宋体"/>
                <w:sz w:val="18"/>
                <w:szCs w:val="18"/>
              </w:rPr>
              <w:t>不少于3点</w:t>
            </w:r>
          </w:p>
        </w:tc>
        <w:tc>
          <w:tcPr>
            <w:tcW w:w="1667" w:type="pct"/>
            <w:vAlign w:val="center"/>
          </w:tcPr>
          <w:p w14:paraId="0B1865B1">
            <w:pPr>
              <w:snapToGrid w:val="0"/>
              <w:spacing w:line="240" w:lineRule="auto"/>
              <w:jc w:val="center"/>
              <w:rPr>
                <w:rFonts w:ascii="宋体" w:hAnsi="宋体"/>
                <w:sz w:val="18"/>
                <w:szCs w:val="18"/>
              </w:rPr>
            </w:pPr>
            <w:bookmarkStart w:id="291" w:name="_Hlk159863404"/>
            <w:r>
              <w:rPr>
                <w:rFonts w:ascii="宋体" w:hAnsi="宋体"/>
                <w:sz w:val="18"/>
                <w:szCs w:val="18"/>
              </w:rPr>
              <w:t>JTG 3450</w:t>
            </w:r>
            <w:r>
              <w:rPr>
                <w:rFonts w:hint="eastAsia" w:ascii="宋体" w:hAnsi="宋体"/>
                <w:sz w:val="18"/>
                <w:szCs w:val="18"/>
              </w:rPr>
              <w:t>—2019中的</w:t>
            </w:r>
            <w:r>
              <w:rPr>
                <w:rFonts w:ascii="宋体" w:hAnsi="宋体"/>
                <w:sz w:val="18"/>
                <w:szCs w:val="18"/>
              </w:rPr>
              <w:t>T 0982</w:t>
            </w:r>
            <w:bookmarkEnd w:id="291"/>
          </w:p>
        </w:tc>
      </w:tr>
      <w:tr w14:paraId="7AC4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879" w:type="pct"/>
            <w:vAlign w:val="center"/>
          </w:tcPr>
          <w:p w14:paraId="5E4B0975">
            <w:pPr>
              <w:snapToGrid w:val="0"/>
              <w:spacing w:line="240" w:lineRule="auto"/>
              <w:jc w:val="center"/>
              <w:rPr>
                <w:rFonts w:ascii="宋体" w:hAnsi="宋体"/>
                <w:sz w:val="18"/>
                <w:szCs w:val="18"/>
              </w:rPr>
            </w:pPr>
            <w:r>
              <w:rPr>
                <w:rFonts w:ascii="宋体" w:hAnsi="宋体"/>
                <w:sz w:val="18"/>
                <w:szCs w:val="18"/>
              </w:rPr>
              <w:t>工作段平均洒布量</w:t>
            </w:r>
          </w:p>
        </w:tc>
        <w:tc>
          <w:tcPr>
            <w:tcW w:w="1454" w:type="pct"/>
            <w:vAlign w:val="center"/>
          </w:tcPr>
          <w:p w14:paraId="7FB6A312">
            <w:pPr>
              <w:snapToGrid w:val="0"/>
              <w:spacing w:line="240" w:lineRule="auto"/>
              <w:jc w:val="center"/>
              <w:rPr>
                <w:rFonts w:ascii="宋体" w:hAnsi="宋体"/>
                <w:sz w:val="18"/>
                <w:szCs w:val="18"/>
              </w:rPr>
            </w:pPr>
            <w:r>
              <w:rPr>
                <w:rFonts w:ascii="宋体" w:hAnsi="宋体"/>
                <w:sz w:val="18"/>
                <w:szCs w:val="18"/>
              </w:rPr>
              <w:t>每工作段</w:t>
            </w:r>
          </w:p>
        </w:tc>
        <w:tc>
          <w:tcPr>
            <w:tcW w:w="1667" w:type="pct"/>
            <w:vAlign w:val="center"/>
          </w:tcPr>
          <w:p w14:paraId="1C9AD404">
            <w:pPr>
              <w:snapToGrid w:val="0"/>
              <w:spacing w:line="240" w:lineRule="auto"/>
              <w:jc w:val="center"/>
              <w:rPr>
                <w:rFonts w:ascii="宋体" w:hAnsi="宋体"/>
                <w:sz w:val="18"/>
                <w:szCs w:val="18"/>
              </w:rPr>
            </w:pPr>
            <m:oMathPara>
              <m:oMath>
                <m:sSub>
                  <m:sSubPr>
                    <m:ctrlPr>
                      <w:rPr>
                        <w:rFonts w:ascii="Cambria Math" w:hAnsi="Cambria Math"/>
                        <w:i/>
                        <w:sz w:val="18"/>
                        <w:szCs w:val="18"/>
                      </w:rPr>
                    </m:ctrlPr>
                  </m:sSubPr>
                  <m:e>
                    <m:r>
                      <m:rPr/>
                      <w:rPr>
                        <w:rFonts w:ascii="Cambria Math" w:hAnsi="Cambria Math"/>
                        <w:sz w:val="18"/>
                        <w:szCs w:val="18"/>
                      </w:rPr>
                      <m:t>m</m:t>
                    </m:r>
                    <m:ctrlPr>
                      <w:rPr>
                        <w:rFonts w:ascii="Cambria Math" w:hAnsi="Cambria Math"/>
                        <w:i/>
                        <w:sz w:val="18"/>
                        <w:szCs w:val="18"/>
                      </w:rPr>
                    </m:ctrlPr>
                  </m:e>
                  <m:sub>
                    <m:r>
                      <m:rPr/>
                      <w:rPr>
                        <w:rFonts w:ascii="Cambria Math" w:hAnsi="Cambria Math"/>
                        <w:sz w:val="18"/>
                        <w:szCs w:val="18"/>
                      </w:rPr>
                      <m:t>A</m:t>
                    </m:r>
                    <m:ctrlPr>
                      <w:rPr>
                        <w:rFonts w:ascii="Cambria Math" w:hAnsi="Cambria Math"/>
                        <w:i/>
                        <w:sz w:val="18"/>
                        <w:szCs w:val="18"/>
                      </w:rPr>
                    </m:ctrlPr>
                  </m:sub>
                </m:sSub>
                <m:r>
                  <m:rPr/>
                  <w:rPr>
                    <w:rFonts w:ascii="Cambria Math" w:hAnsi="Cambria Math"/>
                    <w:sz w:val="18"/>
                    <w:szCs w:val="18"/>
                  </w:rPr>
                  <m:t>=∑m/∑S</m:t>
                </m:r>
              </m:oMath>
            </m:oMathPara>
          </w:p>
        </w:tc>
      </w:tr>
      <w:tr w14:paraId="36B0E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5000" w:type="pct"/>
            <w:gridSpan w:val="3"/>
            <w:vAlign w:val="center"/>
          </w:tcPr>
          <w:p w14:paraId="590844A1">
            <w:pPr>
              <w:pStyle w:val="188"/>
            </w:pPr>
            <w:r>
              <w:t>现场洒布量抽样检测指在现场洒布过程中，对洒布量和均匀性进行取样检测</w:t>
            </w:r>
            <w:r>
              <w:rPr>
                <w:rFonts w:hint="eastAsia"/>
              </w:rPr>
              <w:t>。</w:t>
            </w:r>
          </w:p>
          <w:p w14:paraId="2D3DCB67">
            <w:pPr>
              <w:pStyle w:val="188"/>
            </w:pPr>
            <m:oMath>
              <m:sSub>
                <m:sSubPr>
                  <m:ctrlPr>
                    <w:rPr>
                      <w:rFonts w:ascii="Cambria Math" w:hAnsi="Cambria Math"/>
                      <w:i/>
                    </w:rPr>
                  </m:ctrlPr>
                </m:sSubPr>
                <m:e>
                  <m:r>
                    <m:rPr/>
                    <w:rPr>
                      <w:rFonts w:ascii="Cambria Math" w:hAnsi="Cambria Math"/>
                    </w:rPr>
                    <m:t>m</m:t>
                  </m:r>
                  <m:ctrlPr>
                    <w:rPr>
                      <w:rFonts w:ascii="Cambria Math" w:hAnsi="Cambria Math"/>
                      <w:i/>
                    </w:rPr>
                  </m:ctrlPr>
                </m:e>
                <m:sub>
                  <m:r>
                    <m:rPr/>
                    <w:rPr>
                      <w:rFonts w:ascii="Cambria Math" w:hAnsi="Cambria Math"/>
                    </w:rPr>
                    <m:t>A</m:t>
                  </m:r>
                  <m:ctrlPr>
                    <w:rPr>
                      <w:rFonts w:ascii="Cambria Math" w:hAnsi="Cambria Math"/>
                      <w:i/>
                    </w:rPr>
                  </m:ctrlPr>
                </m:sub>
              </m:sSub>
            </m:oMath>
            <w:r>
              <w:t>为工作段平均洒布量</w:t>
            </w:r>
            <w:r>
              <w:rPr>
                <w:rFonts w:hint="eastAsia"/>
              </w:rPr>
              <w:t>，单位为千克每平方米</w:t>
            </w:r>
            <w:r>
              <w:rPr>
                <w:rFonts w:ascii="Times New Roman"/>
              </w:rPr>
              <w:t>（kg/m</w:t>
            </w:r>
            <w:r>
              <w:rPr>
                <w:rFonts w:ascii="Times New Roman"/>
                <w:vertAlign w:val="superscript"/>
              </w:rPr>
              <w:t>2</w:t>
            </w:r>
            <w:r>
              <w:rPr>
                <w:rFonts w:ascii="Times New Roman"/>
              </w:rPr>
              <w:t>）</w:t>
            </w:r>
            <w:r>
              <w:rPr>
                <w:rFonts w:hint="eastAsia" w:ascii="Times New Roman"/>
              </w:rPr>
              <w:t>；</w:t>
            </w:r>
            <m:oMath>
              <m:r>
                <m:rPr/>
                <w:rPr>
                  <w:rFonts w:ascii="Cambria Math" w:hAnsi="Cambria Math"/>
                </w:rPr>
                <m:t>∑m</m:t>
              </m:r>
            </m:oMath>
            <w:r>
              <w:t>为工作段洒布总量</w:t>
            </w:r>
            <w:r>
              <w:rPr>
                <w:rFonts w:hint="eastAsia"/>
              </w:rPr>
              <w:t>，单位为千克每平方米</w:t>
            </w:r>
            <w:r>
              <w:rPr>
                <w:rFonts w:ascii="Times New Roman"/>
              </w:rPr>
              <w:t>（kg/m</w:t>
            </w:r>
            <w:r>
              <w:rPr>
                <w:rFonts w:ascii="Times New Roman"/>
                <w:vertAlign w:val="superscript"/>
              </w:rPr>
              <w:t>2</w:t>
            </w:r>
            <w:r>
              <w:rPr>
                <w:rFonts w:ascii="Times New Roman"/>
              </w:rPr>
              <w:t>）</w:t>
            </w:r>
            <w:r>
              <w:rPr>
                <w:rFonts w:hint="eastAsia" w:ascii="Times New Roman"/>
              </w:rPr>
              <w:t>；</w:t>
            </w:r>
            <m:oMath>
              <m:r>
                <m:rPr/>
                <w:rPr>
                  <w:rFonts w:ascii="Cambria Math" w:hAnsi="Cambria Math"/>
                </w:rPr>
                <m:t>∑S</m:t>
              </m:r>
            </m:oMath>
            <w:r>
              <w:t>为工作段洒布总面积</w:t>
            </w:r>
            <w:r>
              <w:rPr>
                <w:rFonts w:hint="eastAsia"/>
              </w:rPr>
              <w:t>，单位为平方米</w:t>
            </w:r>
            <w:r>
              <w:rPr>
                <w:rFonts w:ascii="Times New Roman"/>
              </w:rPr>
              <w:t>（m</w:t>
            </w:r>
            <w:r>
              <w:rPr>
                <w:rFonts w:ascii="Times New Roman"/>
                <w:vertAlign w:val="superscript"/>
              </w:rPr>
              <w:t>2</w:t>
            </w:r>
            <w:r>
              <w:rPr>
                <w:rFonts w:ascii="Times New Roman"/>
              </w:rPr>
              <w:t>）</w:t>
            </w:r>
            <w:r>
              <w:rPr>
                <w:rFonts w:hint="eastAsia"/>
              </w:rPr>
              <w:t>。</w:t>
            </w:r>
          </w:p>
        </w:tc>
      </w:tr>
    </w:tbl>
    <w:p w14:paraId="54B271CC">
      <w:bookmarkStart w:id="292" w:name="_Toc183898308"/>
      <w:bookmarkStart w:id="293" w:name="_Toc183898461"/>
      <w:bookmarkStart w:id="294" w:name="_Toc184997600"/>
      <w:bookmarkStart w:id="295" w:name="_Toc183897623"/>
      <w:bookmarkStart w:id="296" w:name="_Toc183897549"/>
      <w:bookmarkStart w:id="297" w:name="_Toc176167867"/>
      <w:r>
        <w:br w:type="page"/>
      </w:r>
    </w:p>
    <w:p w14:paraId="0778D1EB">
      <w:pPr>
        <w:pStyle w:val="113"/>
        <w:spacing w:before="156" w:after="156"/>
      </w:pPr>
      <w:r>
        <w:t>交工验收</w:t>
      </w:r>
      <w:bookmarkEnd w:id="292"/>
      <w:bookmarkEnd w:id="293"/>
      <w:bookmarkEnd w:id="294"/>
      <w:bookmarkEnd w:id="295"/>
      <w:bookmarkEnd w:id="296"/>
      <w:bookmarkEnd w:id="297"/>
    </w:p>
    <w:p w14:paraId="4119D872">
      <w:pPr>
        <w:spacing w:before="156" w:beforeLines="50" w:after="156" w:afterLines="50"/>
        <w:ind w:firstLine="420" w:firstLineChars="200"/>
        <w:rPr>
          <w:rFonts w:ascii="宋体" w:hAnsi="宋体"/>
        </w:rPr>
      </w:pPr>
      <w:bookmarkStart w:id="298" w:name="_Hlk185151720"/>
      <w:r>
        <w:rPr>
          <w:rFonts w:hint="eastAsia" w:ascii="宋体" w:hAnsi="宋体"/>
        </w:rPr>
        <w:t>超薄罩面实测项目除</w:t>
      </w:r>
      <w:r>
        <w:rPr>
          <w:rFonts w:ascii="宋体" w:hAnsi="宋体"/>
          <w:kern w:val="0"/>
        </w:rPr>
        <w:t>应符合</w:t>
      </w:r>
      <w:r>
        <w:rPr>
          <w:rFonts w:ascii="宋体" w:hAnsi="宋体"/>
        </w:rPr>
        <w:t>表</w:t>
      </w:r>
      <w:r>
        <w:rPr>
          <w:rFonts w:hint="eastAsia" w:ascii="宋体" w:hAnsi="宋体"/>
        </w:rPr>
        <w:t>15中的规定外，其他技术要求应符合</w:t>
      </w:r>
      <w:r>
        <w:rPr>
          <w:rFonts w:hint="eastAsia" w:ascii="宋体" w:hAnsi="宋体"/>
          <w:kern w:val="0"/>
        </w:rPr>
        <w:t>JTG 5220的规定</w:t>
      </w:r>
      <w:r>
        <w:rPr>
          <w:rFonts w:ascii="宋体" w:hAnsi="宋体"/>
        </w:rPr>
        <w:t>。</w:t>
      </w:r>
    </w:p>
    <w:bookmarkEnd w:id="298"/>
    <w:p w14:paraId="17917079">
      <w:pPr>
        <w:pStyle w:val="120"/>
        <w:spacing w:before="156" w:after="156"/>
      </w:pPr>
      <w:bookmarkStart w:id="299" w:name="_Hlk185151729"/>
      <w:r>
        <w:t>超薄罩面交工验收检验要求</w:t>
      </w:r>
    </w:p>
    <w:bookmarkEnd w:id="299"/>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2580"/>
        <w:gridCol w:w="2526"/>
        <w:gridCol w:w="1242"/>
        <w:gridCol w:w="2012"/>
      </w:tblGrid>
      <w:tr w14:paraId="6F1F4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80" w:type="pct"/>
            <w:gridSpan w:val="2"/>
            <w:vAlign w:val="center"/>
          </w:tcPr>
          <w:p w14:paraId="41948A61">
            <w:pPr>
              <w:snapToGrid w:val="0"/>
              <w:spacing w:line="240" w:lineRule="auto"/>
              <w:jc w:val="center"/>
              <w:rPr>
                <w:rFonts w:ascii="宋体" w:hAnsi="宋体"/>
                <w:sz w:val="18"/>
                <w:szCs w:val="18"/>
              </w:rPr>
            </w:pPr>
            <w:bookmarkStart w:id="300" w:name="_Hlk185151710"/>
            <w:r>
              <w:rPr>
                <w:rFonts w:ascii="宋体" w:hAnsi="宋体"/>
                <w:sz w:val="18"/>
                <w:szCs w:val="18"/>
              </w:rPr>
              <w:t>检查项目</w:t>
            </w:r>
          </w:p>
        </w:tc>
        <w:tc>
          <w:tcPr>
            <w:tcW w:w="1320" w:type="pct"/>
            <w:vAlign w:val="center"/>
          </w:tcPr>
          <w:p w14:paraId="7A8D7C75">
            <w:pPr>
              <w:snapToGrid w:val="0"/>
              <w:spacing w:line="240" w:lineRule="auto"/>
              <w:jc w:val="center"/>
              <w:rPr>
                <w:rFonts w:ascii="宋体" w:hAnsi="宋体"/>
                <w:sz w:val="18"/>
                <w:szCs w:val="18"/>
              </w:rPr>
            </w:pPr>
            <w:r>
              <w:rPr>
                <w:rFonts w:ascii="宋体" w:hAnsi="宋体"/>
                <w:sz w:val="18"/>
                <w:szCs w:val="18"/>
              </w:rPr>
              <w:t>质量要求</w:t>
            </w:r>
          </w:p>
        </w:tc>
        <w:tc>
          <w:tcPr>
            <w:tcW w:w="649" w:type="pct"/>
            <w:vAlign w:val="center"/>
          </w:tcPr>
          <w:p w14:paraId="20EC90D0">
            <w:pPr>
              <w:snapToGrid w:val="0"/>
              <w:spacing w:line="240" w:lineRule="auto"/>
              <w:jc w:val="center"/>
              <w:rPr>
                <w:rFonts w:ascii="宋体" w:hAnsi="宋体"/>
                <w:sz w:val="18"/>
                <w:szCs w:val="18"/>
              </w:rPr>
            </w:pPr>
            <w:r>
              <w:rPr>
                <w:rFonts w:ascii="宋体" w:hAnsi="宋体"/>
                <w:sz w:val="18"/>
                <w:szCs w:val="18"/>
              </w:rPr>
              <w:t>检测频率</w:t>
            </w:r>
          </w:p>
        </w:tc>
        <w:tc>
          <w:tcPr>
            <w:tcW w:w="1051" w:type="pct"/>
            <w:vAlign w:val="center"/>
          </w:tcPr>
          <w:p w14:paraId="2E7C3C3A">
            <w:pPr>
              <w:snapToGrid w:val="0"/>
              <w:spacing w:line="240" w:lineRule="auto"/>
              <w:jc w:val="center"/>
              <w:rPr>
                <w:rFonts w:ascii="宋体" w:hAnsi="宋体"/>
                <w:sz w:val="18"/>
                <w:szCs w:val="18"/>
              </w:rPr>
            </w:pPr>
            <w:r>
              <w:rPr>
                <w:rFonts w:hint="eastAsia" w:ascii="宋体" w:hAnsi="宋体"/>
                <w:sz w:val="18"/>
                <w:szCs w:val="18"/>
              </w:rPr>
              <w:t>试验</w:t>
            </w:r>
            <w:r>
              <w:rPr>
                <w:rFonts w:ascii="宋体" w:hAnsi="宋体"/>
                <w:sz w:val="18"/>
                <w:szCs w:val="18"/>
              </w:rPr>
              <w:t>方法</w:t>
            </w:r>
          </w:p>
        </w:tc>
      </w:tr>
      <w:tr w14:paraId="2726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vMerge w:val="restart"/>
            <w:vAlign w:val="center"/>
          </w:tcPr>
          <w:p w14:paraId="1EEEAA7C">
            <w:pPr>
              <w:snapToGrid w:val="0"/>
              <w:spacing w:line="240" w:lineRule="auto"/>
              <w:jc w:val="center"/>
              <w:rPr>
                <w:rFonts w:ascii="宋体" w:hAnsi="宋体"/>
                <w:sz w:val="18"/>
                <w:szCs w:val="18"/>
              </w:rPr>
            </w:pPr>
            <w:r>
              <w:rPr>
                <w:rFonts w:ascii="宋体" w:hAnsi="宋体"/>
                <w:sz w:val="18"/>
                <w:szCs w:val="18"/>
              </w:rPr>
              <w:t>表</w:t>
            </w:r>
          </w:p>
          <w:p w14:paraId="450F1A8F">
            <w:pPr>
              <w:snapToGrid w:val="0"/>
              <w:spacing w:line="240" w:lineRule="auto"/>
              <w:jc w:val="center"/>
              <w:rPr>
                <w:rFonts w:ascii="宋体" w:hAnsi="宋体"/>
                <w:sz w:val="18"/>
                <w:szCs w:val="18"/>
              </w:rPr>
            </w:pPr>
            <w:r>
              <w:rPr>
                <w:rFonts w:ascii="宋体" w:hAnsi="宋体"/>
                <w:sz w:val="18"/>
                <w:szCs w:val="18"/>
              </w:rPr>
              <w:t>观</w:t>
            </w:r>
          </w:p>
          <w:p w14:paraId="6F7AACAC">
            <w:pPr>
              <w:snapToGrid w:val="0"/>
              <w:spacing w:line="240" w:lineRule="auto"/>
              <w:jc w:val="center"/>
              <w:rPr>
                <w:rFonts w:ascii="宋体" w:hAnsi="宋体"/>
                <w:sz w:val="18"/>
                <w:szCs w:val="18"/>
              </w:rPr>
            </w:pPr>
            <w:r>
              <w:rPr>
                <w:rFonts w:ascii="宋体" w:hAnsi="宋体"/>
                <w:sz w:val="18"/>
                <w:szCs w:val="18"/>
              </w:rPr>
              <w:t>质</w:t>
            </w:r>
          </w:p>
          <w:p w14:paraId="503F42B0">
            <w:pPr>
              <w:snapToGrid w:val="0"/>
              <w:spacing w:line="240" w:lineRule="auto"/>
              <w:jc w:val="center"/>
              <w:rPr>
                <w:rFonts w:ascii="宋体" w:hAnsi="宋体"/>
                <w:sz w:val="18"/>
                <w:szCs w:val="18"/>
              </w:rPr>
            </w:pPr>
            <w:r>
              <w:rPr>
                <w:rFonts w:ascii="宋体" w:hAnsi="宋体"/>
                <w:sz w:val="18"/>
                <w:szCs w:val="18"/>
              </w:rPr>
              <w:t>量</w:t>
            </w:r>
          </w:p>
        </w:tc>
        <w:tc>
          <w:tcPr>
            <w:tcW w:w="1348" w:type="pct"/>
            <w:vAlign w:val="center"/>
          </w:tcPr>
          <w:p w14:paraId="25EE2BB0">
            <w:pPr>
              <w:snapToGrid w:val="0"/>
              <w:spacing w:line="240" w:lineRule="auto"/>
              <w:jc w:val="center"/>
              <w:rPr>
                <w:rFonts w:ascii="宋体" w:hAnsi="宋体"/>
                <w:sz w:val="18"/>
                <w:szCs w:val="18"/>
              </w:rPr>
            </w:pPr>
            <w:r>
              <w:rPr>
                <w:rFonts w:ascii="宋体" w:hAnsi="宋体"/>
                <w:sz w:val="18"/>
                <w:szCs w:val="18"/>
              </w:rPr>
              <w:t>外观</w:t>
            </w:r>
          </w:p>
        </w:tc>
        <w:tc>
          <w:tcPr>
            <w:tcW w:w="1320" w:type="pct"/>
            <w:vAlign w:val="center"/>
          </w:tcPr>
          <w:p w14:paraId="3D0EB8EF">
            <w:pPr>
              <w:snapToGrid w:val="0"/>
              <w:spacing w:line="240" w:lineRule="auto"/>
              <w:jc w:val="center"/>
              <w:rPr>
                <w:rFonts w:ascii="宋体" w:hAnsi="宋体"/>
                <w:sz w:val="18"/>
                <w:szCs w:val="18"/>
              </w:rPr>
            </w:pPr>
            <w:r>
              <w:rPr>
                <w:rFonts w:ascii="宋体" w:hAnsi="宋体"/>
                <w:sz w:val="18"/>
                <w:szCs w:val="18"/>
              </w:rPr>
              <w:t>表面平整、均匀、无松散、无花白料、无轮迹、无划痕</w:t>
            </w:r>
          </w:p>
        </w:tc>
        <w:tc>
          <w:tcPr>
            <w:tcW w:w="649" w:type="pct"/>
            <w:vAlign w:val="center"/>
          </w:tcPr>
          <w:p w14:paraId="78D972ED">
            <w:pPr>
              <w:snapToGrid w:val="0"/>
              <w:spacing w:line="240" w:lineRule="auto"/>
              <w:jc w:val="center"/>
              <w:rPr>
                <w:rFonts w:ascii="宋体" w:hAnsi="宋体"/>
                <w:sz w:val="18"/>
                <w:szCs w:val="18"/>
              </w:rPr>
            </w:pPr>
            <w:r>
              <w:rPr>
                <w:rFonts w:ascii="宋体" w:hAnsi="宋体"/>
                <w:sz w:val="18"/>
                <w:szCs w:val="18"/>
              </w:rPr>
              <w:t>全线连续</w:t>
            </w:r>
          </w:p>
        </w:tc>
        <w:tc>
          <w:tcPr>
            <w:tcW w:w="1051" w:type="pct"/>
            <w:vAlign w:val="center"/>
          </w:tcPr>
          <w:p w14:paraId="491AE096">
            <w:pPr>
              <w:snapToGrid w:val="0"/>
              <w:spacing w:line="240" w:lineRule="auto"/>
              <w:jc w:val="center"/>
              <w:rPr>
                <w:rFonts w:ascii="宋体" w:hAnsi="宋体"/>
                <w:sz w:val="18"/>
                <w:szCs w:val="18"/>
              </w:rPr>
            </w:pPr>
            <w:r>
              <w:rPr>
                <w:rFonts w:ascii="宋体" w:hAnsi="宋体"/>
                <w:sz w:val="18"/>
                <w:szCs w:val="18"/>
              </w:rPr>
              <w:t>目测</w:t>
            </w:r>
          </w:p>
        </w:tc>
      </w:tr>
      <w:tr w14:paraId="7BFA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vMerge w:val="continue"/>
            <w:vAlign w:val="center"/>
          </w:tcPr>
          <w:p w14:paraId="1605CE58">
            <w:pPr>
              <w:snapToGrid w:val="0"/>
              <w:spacing w:line="240" w:lineRule="auto"/>
              <w:jc w:val="center"/>
              <w:rPr>
                <w:rFonts w:ascii="宋体" w:hAnsi="宋体"/>
                <w:sz w:val="18"/>
                <w:szCs w:val="18"/>
              </w:rPr>
            </w:pPr>
          </w:p>
        </w:tc>
        <w:tc>
          <w:tcPr>
            <w:tcW w:w="1348" w:type="pct"/>
            <w:vAlign w:val="center"/>
          </w:tcPr>
          <w:p w14:paraId="77C9B5FF">
            <w:pPr>
              <w:snapToGrid w:val="0"/>
              <w:spacing w:line="240" w:lineRule="auto"/>
              <w:jc w:val="center"/>
              <w:rPr>
                <w:rFonts w:ascii="宋体" w:hAnsi="宋体"/>
                <w:sz w:val="18"/>
                <w:szCs w:val="18"/>
              </w:rPr>
            </w:pPr>
            <w:r>
              <w:rPr>
                <w:rFonts w:ascii="宋体" w:hAnsi="宋体"/>
                <w:sz w:val="18"/>
                <w:szCs w:val="18"/>
              </w:rPr>
              <w:t>横向接缝</w:t>
            </w:r>
          </w:p>
        </w:tc>
        <w:tc>
          <w:tcPr>
            <w:tcW w:w="1320" w:type="pct"/>
            <w:vAlign w:val="center"/>
          </w:tcPr>
          <w:p w14:paraId="1057E20A">
            <w:pPr>
              <w:snapToGrid w:val="0"/>
              <w:spacing w:line="240" w:lineRule="auto"/>
              <w:jc w:val="center"/>
              <w:rPr>
                <w:rFonts w:ascii="宋体" w:hAnsi="宋体"/>
                <w:sz w:val="18"/>
                <w:szCs w:val="18"/>
              </w:rPr>
            </w:pPr>
            <w:r>
              <w:rPr>
                <w:rFonts w:ascii="宋体" w:hAnsi="宋体"/>
                <w:sz w:val="18"/>
                <w:szCs w:val="18"/>
              </w:rPr>
              <w:t>紧密平整、顺直、无跳车</w:t>
            </w:r>
          </w:p>
        </w:tc>
        <w:tc>
          <w:tcPr>
            <w:tcW w:w="649" w:type="pct"/>
            <w:vAlign w:val="center"/>
          </w:tcPr>
          <w:p w14:paraId="16874A6A">
            <w:pPr>
              <w:snapToGrid w:val="0"/>
              <w:spacing w:line="240" w:lineRule="auto"/>
              <w:jc w:val="center"/>
              <w:rPr>
                <w:rFonts w:ascii="宋体" w:hAnsi="宋体"/>
                <w:sz w:val="18"/>
                <w:szCs w:val="18"/>
              </w:rPr>
            </w:pPr>
            <w:r>
              <w:rPr>
                <w:rFonts w:ascii="宋体" w:hAnsi="宋体"/>
                <w:sz w:val="18"/>
                <w:szCs w:val="18"/>
              </w:rPr>
              <w:t>每条</w:t>
            </w:r>
          </w:p>
        </w:tc>
        <w:tc>
          <w:tcPr>
            <w:tcW w:w="1051" w:type="pct"/>
            <w:vAlign w:val="center"/>
          </w:tcPr>
          <w:p w14:paraId="5F3E817F">
            <w:pPr>
              <w:snapToGrid w:val="0"/>
              <w:spacing w:line="240" w:lineRule="auto"/>
              <w:jc w:val="center"/>
              <w:rPr>
                <w:rFonts w:ascii="宋体" w:hAnsi="宋体"/>
                <w:sz w:val="18"/>
                <w:szCs w:val="18"/>
              </w:rPr>
            </w:pPr>
            <w:r>
              <w:rPr>
                <w:rFonts w:ascii="宋体" w:hAnsi="宋体"/>
                <w:sz w:val="18"/>
                <w:szCs w:val="18"/>
              </w:rPr>
              <w:t>目测</w:t>
            </w:r>
          </w:p>
        </w:tc>
      </w:tr>
      <w:tr w14:paraId="07E0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vMerge w:val="continue"/>
            <w:vAlign w:val="center"/>
          </w:tcPr>
          <w:p w14:paraId="626855D8">
            <w:pPr>
              <w:snapToGrid w:val="0"/>
              <w:spacing w:line="240" w:lineRule="auto"/>
              <w:jc w:val="center"/>
              <w:rPr>
                <w:rFonts w:ascii="宋体" w:hAnsi="宋体"/>
                <w:sz w:val="18"/>
                <w:szCs w:val="18"/>
              </w:rPr>
            </w:pPr>
          </w:p>
        </w:tc>
        <w:tc>
          <w:tcPr>
            <w:tcW w:w="1348" w:type="pct"/>
            <w:vAlign w:val="center"/>
          </w:tcPr>
          <w:p w14:paraId="57B23D46">
            <w:pPr>
              <w:snapToGrid w:val="0"/>
              <w:spacing w:line="240" w:lineRule="auto"/>
              <w:jc w:val="center"/>
              <w:rPr>
                <w:rFonts w:ascii="宋体" w:hAnsi="宋体"/>
                <w:sz w:val="18"/>
                <w:szCs w:val="18"/>
              </w:rPr>
            </w:pPr>
            <w:r>
              <w:rPr>
                <w:rFonts w:hint="eastAsia" w:ascii="宋体" w:hAnsi="宋体"/>
                <w:sz w:val="18"/>
                <w:szCs w:val="18"/>
              </w:rPr>
              <w:t>新旧路</w:t>
            </w:r>
            <w:r>
              <w:rPr>
                <w:rFonts w:ascii="宋体" w:hAnsi="宋体"/>
                <w:sz w:val="18"/>
                <w:szCs w:val="18"/>
              </w:rPr>
              <w:t>纵向接缝</w:t>
            </w:r>
            <w:r>
              <w:rPr>
                <w:rFonts w:hint="eastAsia" w:ascii="宋体" w:hAnsi="宋体"/>
                <w:sz w:val="18"/>
                <w:szCs w:val="18"/>
              </w:rPr>
              <w:t>高差</w:t>
            </w:r>
            <w:r>
              <w:rPr>
                <w:rFonts w:hint="eastAsia" w:ascii="宋体" w:hAnsi="宋体"/>
                <w:kern w:val="0"/>
                <w:sz w:val="18"/>
                <w:szCs w:val="18"/>
              </w:rPr>
              <w:t>（</w:t>
            </w:r>
            <w:r>
              <w:rPr>
                <w:rFonts w:ascii="宋体" w:hAnsi="宋体"/>
                <w:sz w:val="18"/>
                <w:szCs w:val="18"/>
              </w:rPr>
              <w:t>mm</w:t>
            </w:r>
            <w:r>
              <w:rPr>
                <w:rFonts w:hint="eastAsia" w:ascii="宋体" w:hAnsi="宋体"/>
                <w:kern w:val="0"/>
                <w:sz w:val="18"/>
                <w:szCs w:val="18"/>
              </w:rPr>
              <w:t>）</w:t>
            </w:r>
          </w:p>
        </w:tc>
        <w:tc>
          <w:tcPr>
            <w:tcW w:w="1320" w:type="pct"/>
            <w:vAlign w:val="center"/>
          </w:tcPr>
          <w:p w14:paraId="6BE57F4B">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10</w:t>
            </w:r>
          </w:p>
        </w:tc>
        <w:tc>
          <w:tcPr>
            <w:tcW w:w="649" w:type="pct"/>
            <w:vAlign w:val="center"/>
          </w:tcPr>
          <w:p w14:paraId="5E514A6B">
            <w:pPr>
              <w:snapToGrid w:val="0"/>
              <w:spacing w:line="240" w:lineRule="auto"/>
              <w:jc w:val="center"/>
              <w:rPr>
                <w:rFonts w:ascii="宋体" w:hAnsi="宋体"/>
                <w:sz w:val="18"/>
                <w:szCs w:val="18"/>
              </w:rPr>
            </w:pPr>
            <w:r>
              <w:rPr>
                <w:rFonts w:ascii="宋体" w:hAnsi="宋体"/>
                <w:sz w:val="18"/>
                <w:szCs w:val="18"/>
              </w:rPr>
              <w:t>全线连续</w:t>
            </w:r>
          </w:p>
        </w:tc>
        <w:tc>
          <w:tcPr>
            <w:tcW w:w="1051" w:type="pct"/>
            <w:vAlign w:val="center"/>
          </w:tcPr>
          <w:p w14:paraId="6FA0D38B">
            <w:pPr>
              <w:snapToGrid w:val="0"/>
              <w:spacing w:line="240" w:lineRule="auto"/>
              <w:jc w:val="center"/>
              <w:rPr>
                <w:rFonts w:ascii="宋体" w:hAnsi="宋体"/>
                <w:sz w:val="18"/>
                <w:szCs w:val="18"/>
              </w:rPr>
            </w:pPr>
            <w:r>
              <w:rPr>
                <w:rFonts w:ascii="宋体" w:hAnsi="宋体"/>
                <w:sz w:val="18"/>
                <w:szCs w:val="18"/>
              </w:rPr>
              <w:t>JTG 3450</w:t>
            </w:r>
            <w:r>
              <w:rPr>
                <w:rFonts w:hint="eastAsia" w:ascii="宋体" w:hAnsi="宋体"/>
                <w:sz w:val="18"/>
                <w:szCs w:val="18"/>
              </w:rPr>
              <w:t>—2019中的</w:t>
            </w:r>
            <w:r>
              <w:rPr>
                <w:rFonts w:ascii="宋体" w:hAnsi="宋体"/>
                <w:sz w:val="18"/>
                <w:szCs w:val="18"/>
              </w:rPr>
              <w:t>T 0931</w:t>
            </w:r>
          </w:p>
        </w:tc>
      </w:tr>
      <w:tr w14:paraId="2DF43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vMerge w:val="continue"/>
            <w:vAlign w:val="center"/>
          </w:tcPr>
          <w:p w14:paraId="48894420">
            <w:pPr>
              <w:snapToGrid w:val="0"/>
              <w:spacing w:line="240" w:lineRule="auto"/>
              <w:jc w:val="center"/>
              <w:rPr>
                <w:rFonts w:ascii="宋体" w:hAnsi="宋体"/>
                <w:sz w:val="18"/>
                <w:szCs w:val="18"/>
              </w:rPr>
            </w:pPr>
          </w:p>
        </w:tc>
        <w:tc>
          <w:tcPr>
            <w:tcW w:w="1348" w:type="pct"/>
            <w:vAlign w:val="center"/>
          </w:tcPr>
          <w:p w14:paraId="55074B4D">
            <w:pPr>
              <w:snapToGrid w:val="0"/>
              <w:spacing w:line="240" w:lineRule="auto"/>
              <w:jc w:val="center"/>
              <w:rPr>
                <w:rFonts w:ascii="宋体" w:hAnsi="宋体"/>
                <w:sz w:val="18"/>
                <w:szCs w:val="18"/>
              </w:rPr>
            </w:pPr>
            <w:r>
              <w:rPr>
                <w:rFonts w:ascii="宋体" w:hAnsi="宋体"/>
                <w:sz w:val="18"/>
                <w:szCs w:val="18"/>
              </w:rPr>
              <w:t>边线</w:t>
            </w:r>
          </w:p>
        </w:tc>
        <w:tc>
          <w:tcPr>
            <w:tcW w:w="1320" w:type="pct"/>
            <w:vAlign w:val="center"/>
          </w:tcPr>
          <w:p w14:paraId="13E0B459">
            <w:pPr>
              <w:snapToGrid w:val="0"/>
              <w:spacing w:line="240" w:lineRule="auto"/>
              <w:jc w:val="center"/>
              <w:rPr>
                <w:rFonts w:ascii="宋体" w:hAnsi="宋体"/>
                <w:sz w:val="18"/>
                <w:szCs w:val="18"/>
              </w:rPr>
            </w:pPr>
            <w:r>
              <w:rPr>
                <w:rFonts w:ascii="宋体" w:hAnsi="宋体"/>
                <w:sz w:val="18"/>
                <w:szCs w:val="18"/>
              </w:rPr>
              <w:t>任一30</w:t>
            </w:r>
            <w:r>
              <w:rPr>
                <w:rFonts w:hint="eastAsia" w:ascii="宋体" w:hAnsi="宋体"/>
                <w:sz w:val="18"/>
                <w:szCs w:val="18"/>
              </w:rPr>
              <w:t xml:space="preserve"> </w:t>
            </w:r>
            <w:r>
              <w:rPr>
                <w:rFonts w:ascii="宋体" w:hAnsi="宋体"/>
                <w:sz w:val="18"/>
                <w:szCs w:val="18"/>
              </w:rPr>
              <w:t>m长度范围内的水平波动不</w:t>
            </w:r>
            <w:r>
              <w:rPr>
                <w:rFonts w:hint="eastAsia" w:ascii="宋体" w:hAnsi="宋体"/>
                <w:sz w:val="18"/>
                <w:szCs w:val="18"/>
              </w:rPr>
              <w:t>应</w:t>
            </w:r>
            <w:r>
              <w:rPr>
                <w:rFonts w:ascii="宋体" w:hAnsi="宋体"/>
                <w:sz w:val="18"/>
                <w:szCs w:val="18"/>
              </w:rPr>
              <w:t>超过±50</w:t>
            </w:r>
            <w:r>
              <w:rPr>
                <w:rFonts w:hint="eastAsia" w:ascii="宋体" w:hAnsi="宋体"/>
                <w:sz w:val="18"/>
                <w:szCs w:val="18"/>
              </w:rPr>
              <w:t xml:space="preserve"> </w:t>
            </w:r>
            <w:r>
              <w:rPr>
                <w:rFonts w:ascii="宋体" w:hAnsi="宋体"/>
                <w:sz w:val="18"/>
                <w:szCs w:val="18"/>
              </w:rPr>
              <w:t>mm</w:t>
            </w:r>
          </w:p>
        </w:tc>
        <w:tc>
          <w:tcPr>
            <w:tcW w:w="649" w:type="pct"/>
            <w:vAlign w:val="center"/>
          </w:tcPr>
          <w:p w14:paraId="2E7378F9">
            <w:pPr>
              <w:snapToGrid w:val="0"/>
              <w:spacing w:line="240" w:lineRule="auto"/>
              <w:jc w:val="center"/>
              <w:rPr>
                <w:rFonts w:ascii="宋体" w:hAnsi="宋体"/>
                <w:sz w:val="18"/>
                <w:szCs w:val="18"/>
              </w:rPr>
            </w:pPr>
            <w:r>
              <w:rPr>
                <w:rFonts w:ascii="宋体" w:hAnsi="宋体"/>
                <w:sz w:val="18"/>
                <w:szCs w:val="18"/>
              </w:rPr>
              <w:t>全线连续</w:t>
            </w:r>
          </w:p>
        </w:tc>
        <w:tc>
          <w:tcPr>
            <w:tcW w:w="1051" w:type="pct"/>
            <w:vAlign w:val="center"/>
          </w:tcPr>
          <w:p w14:paraId="1EF4BC9B">
            <w:pPr>
              <w:snapToGrid w:val="0"/>
              <w:spacing w:line="240" w:lineRule="auto"/>
              <w:jc w:val="center"/>
              <w:rPr>
                <w:rFonts w:ascii="宋体" w:hAnsi="宋体"/>
                <w:sz w:val="18"/>
                <w:szCs w:val="18"/>
              </w:rPr>
            </w:pPr>
            <w:r>
              <w:rPr>
                <w:rFonts w:ascii="宋体" w:hAnsi="宋体"/>
                <w:sz w:val="18"/>
                <w:szCs w:val="18"/>
              </w:rPr>
              <w:t>目测或尺量</w:t>
            </w:r>
          </w:p>
        </w:tc>
      </w:tr>
      <w:tr w14:paraId="7557F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tcBorders>
              <w:bottom w:val="single" w:color="auto" w:sz="4" w:space="0"/>
            </w:tcBorders>
            <w:vAlign w:val="center"/>
          </w:tcPr>
          <w:p w14:paraId="0D3FC6DC">
            <w:pPr>
              <w:snapToGrid w:val="0"/>
              <w:spacing w:line="240" w:lineRule="auto"/>
              <w:jc w:val="center"/>
              <w:rPr>
                <w:rFonts w:ascii="宋体" w:hAnsi="宋体"/>
                <w:sz w:val="18"/>
                <w:szCs w:val="18"/>
              </w:rPr>
            </w:pPr>
            <w:r>
              <w:rPr>
                <w:rFonts w:hint="eastAsia" w:ascii="宋体" w:hAnsi="宋体"/>
                <w:sz w:val="18"/>
                <w:szCs w:val="18"/>
              </w:rPr>
              <w:t>层间联结</w:t>
            </w:r>
          </w:p>
        </w:tc>
        <w:tc>
          <w:tcPr>
            <w:tcW w:w="1348" w:type="pct"/>
            <w:tcBorders>
              <w:bottom w:val="single" w:color="auto" w:sz="4" w:space="0"/>
            </w:tcBorders>
            <w:vAlign w:val="center"/>
          </w:tcPr>
          <w:p w14:paraId="62BC97AC">
            <w:pPr>
              <w:snapToGrid w:val="0"/>
              <w:spacing w:line="240" w:lineRule="auto"/>
              <w:jc w:val="center"/>
              <w:rPr>
                <w:rFonts w:ascii="宋体" w:hAnsi="宋体"/>
                <w:sz w:val="18"/>
                <w:szCs w:val="18"/>
              </w:rPr>
            </w:pPr>
            <w:r>
              <w:rPr>
                <w:rFonts w:ascii="宋体" w:hAnsi="宋体"/>
                <w:kern w:val="0"/>
                <w:sz w:val="18"/>
                <w:szCs w:val="18"/>
              </w:rPr>
              <w:t>拉拔强度（25℃）</w:t>
            </w:r>
            <w:r>
              <w:rPr>
                <w:rFonts w:hint="eastAsia" w:ascii="宋体" w:hAnsi="宋体"/>
                <w:kern w:val="0"/>
                <w:sz w:val="18"/>
                <w:szCs w:val="18"/>
              </w:rPr>
              <w:t>或</w:t>
            </w:r>
            <w:r>
              <w:rPr>
                <w:rFonts w:ascii="宋体" w:hAnsi="宋体"/>
                <w:kern w:val="0"/>
                <w:sz w:val="18"/>
                <w:szCs w:val="18"/>
              </w:rPr>
              <w:t>剪切强度（25℃）</w:t>
            </w:r>
            <w:r>
              <w:rPr>
                <w:rFonts w:hint="eastAsia" w:ascii="宋体" w:hAnsi="宋体"/>
                <w:kern w:val="0"/>
                <w:sz w:val="18"/>
                <w:szCs w:val="18"/>
              </w:rPr>
              <w:t>/</w:t>
            </w:r>
            <w:bookmarkStart w:id="301" w:name="OLE_LINK6"/>
            <w:r>
              <w:rPr>
                <w:rFonts w:hint="eastAsia" w:ascii="宋体" w:hAnsi="宋体"/>
                <w:kern w:val="0"/>
                <w:sz w:val="18"/>
                <w:szCs w:val="18"/>
              </w:rPr>
              <w:t>（</w:t>
            </w:r>
            <w:bookmarkEnd w:id="301"/>
            <w:r>
              <w:rPr>
                <w:rFonts w:ascii="宋体" w:hAnsi="宋体"/>
                <w:kern w:val="0"/>
                <w:sz w:val="18"/>
                <w:szCs w:val="18"/>
              </w:rPr>
              <w:t>MPa</w:t>
            </w:r>
            <w:bookmarkStart w:id="302" w:name="OLE_LINK7"/>
            <w:r>
              <w:rPr>
                <w:rFonts w:hint="eastAsia" w:ascii="宋体" w:hAnsi="宋体"/>
                <w:kern w:val="0"/>
                <w:sz w:val="18"/>
                <w:szCs w:val="18"/>
              </w:rPr>
              <w:t>）</w:t>
            </w:r>
            <w:bookmarkEnd w:id="302"/>
          </w:p>
        </w:tc>
        <w:tc>
          <w:tcPr>
            <w:tcW w:w="1320" w:type="pct"/>
            <w:tcBorders>
              <w:bottom w:val="single" w:color="auto" w:sz="4" w:space="0"/>
            </w:tcBorders>
            <w:vAlign w:val="center"/>
          </w:tcPr>
          <w:p w14:paraId="781392B3">
            <w:pPr>
              <w:snapToGrid w:val="0"/>
              <w:spacing w:line="240" w:lineRule="auto"/>
              <w:jc w:val="center"/>
              <w:rPr>
                <w:rFonts w:ascii="宋体" w:hAnsi="宋体"/>
                <w:sz w:val="18"/>
                <w:szCs w:val="18"/>
              </w:rPr>
            </w:pPr>
            <w:r>
              <w:rPr>
                <w:rFonts w:hint="eastAsia" w:ascii="宋体" w:hAnsi="宋体"/>
                <w:sz w:val="18"/>
                <w:szCs w:val="18"/>
              </w:rPr>
              <w:t>≥0</w:t>
            </w:r>
            <w:r>
              <w:rPr>
                <w:rFonts w:ascii="宋体" w:hAnsi="宋体"/>
                <w:sz w:val="18"/>
                <w:szCs w:val="18"/>
              </w:rPr>
              <w:t>.85</w:t>
            </w:r>
          </w:p>
        </w:tc>
        <w:tc>
          <w:tcPr>
            <w:tcW w:w="649" w:type="pct"/>
            <w:tcBorders>
              <w:bottom w:val="single" w:color="auto" w:sz="4" w:space="0"/>
            </w:tcBorders>
            <w:vAlign w:val="center"/>
          </w:tcPr>
          <w:p w14:paraId="21EFC87A">
            <w:pPr>
              <w:snapToGrid w:val="0"/>
              <w:spacing w:line="240" w:lineRule="auto"/>
              <w:jc w:val="center"/>
              <w:rPr>
                <w:rFonts w:ascii="宋体" w:hAnsi="宋体"/>
                <w:sz w:val="18"/>
                <w:szCs w:val="18"/>
              </w:rPr>
            </w:pPr>
            <w:r>
              <w:rPr>
                <w:rFonts w:hint="eastAsia" w:ascii="宋体" w:hAnsi="宋体"/>
                <w:sz w:val="18"/>
                <w:szCs w:val="18"/>
              </w:rPr>
              <w:t>1个点/车道公里</w:t>
            </w:r>
          </w:p>
        </w:tc>
        <w:tc>
          <w:tcPr>
            <w:tcW w:w="1051" w:type="pct"/>
            <w:tcBorders>
              <w:bottom w:val="single" w:color="auto" w:sz="4" w:space="0"/>
            </w:tcBorders>
            <w:vAlign w:val="center"/>
          </w:tcPr>
          <w:p w14:paraId="06EAB615">
            <w:pPr>
              <w:snapToGrid w:val="0"/>
              <w:spacing w:line="240" w:lineRule="auto"/>
              <w:jc w:val="center"/>
              <w:rPr>
                <w:rFonts w:ascii="宋体" w:hAnsi="宋体"/>
                <w:sz w:val="18"/>
                <w:szCs w:val="18"/>
              </w:rPr>
            </w:pPr>
            <w:r>
              <w:rPr>
                <w:rFonts w:hint="eastAsia" w:ascii="宋体" w:hAnsi="宋体"/>
                <w:sz w:val="18"/>
                <w:szCs w:val="18"/>
              </w:rPr>
              <w:t>可采用附录</w:t>
            </w:r>
            <w:r>
              <w:rPr>
                <w:rFonts w:ascii="宋体" w:hAnsi="宋体"/>
                <w:sz w:val="18"/>
                <w:szCs w:val="18"/>
              </w:rPr>
              <w:t>D</w:t>
            </w:r>
            <w:r>
              <w:rPr>
                <w:rFonts w:hint="eastAsia" w:ascii="宋体" w:hAnsi="宋体"/>
                <w:sz w:val="18"/>
                <w:szCs w:val="18"/>
              </w:rPr>
              <w:t>给出的方法</w:t>
            </w:r>
          </w:p>
        </w:tc>
      </w:tr>
      <w:tr w14:paraId="7750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vMerge w:val="restart"/>
            <w:vAlign w:val="center"/>
          </w:tcPr>
          <w:p w14:paraId="4B4DB15E">
            <w:pPr>
              <w:snapToGrid w:val="0"/>
              <w:spacing w:line="240" w:lineRule="auto"/>
              <w:jc w:val="center"/>
              <w:rPr>
                <w:rFonts w:ascii="宋体" w:hAnsi="宋体"/>
                <w:sz w:val="18"/>
                <w:szCs w:val="18"/>
              </w:rPr>
            </w:pPr>
            <w:r>
              <w:rPr>
                <w:rFonts w:ascii="宋体" w:hAnsi="宋体"/>
                <w:sz w:val="18"/>
                <w:szCs w:val="18"/>
              </w:rPr>
              <w:t>抗滑</w:t>
            </w:r>
          </w:p>
        </w:tc>
        <w:tc>
          <w:tcPr>
            <w:tcW w:w="1348" w:type="pct"/>
            <w:vAlign w:val="center"/>
          </w:tcPr>
          <w:p w14:paraId="7E9A4022">
            <w:pPr>
              <w:snapToGrid w:val="0"/>
              <w:spacing w:line="240" w:lineRule="auto"/>
              <w:jc w:val="center"/>
              <w:rPr>
                <w:rFonts w:ascii="宋体" w:hAnsi="宋体"/>
                <w:i/>
                <w:sz w:val="18"/>
                <w:szCs w:val="18"/>
              </w:rPr>
            </w:pPr>
            <w:r>
              <w:rPr>
                <w:rFonts w:ascii="宋体" w:hAnsi="宋体"/>
                <w:sz w:val="18"/>
                <w:szCs w:val="18"/>
              </w:rPr>
              <w:t>横向力系数</w:t>
            </w:r>
          </w:p>
        </w:tc>
        <w:tc>
          <w:tcPr>
            <w:tcW w:w="1320" w:type="pct"/>
            <w:vMerge w:val="restart"/>
            <w:vAlign w:val="center"/>
          </w:tcPr>
          <w:p w14:paraId="7E9B4226">
            <w:pPr>
              <w:snapToGrid w:val="0"/>
              <w:spacing w:line="240" w:lineRule="auto"/>
              <w:jc w:val="center"/>
              <w:rPr>
                <w:rFonts w:ascii="宋体" w:hAnsi="宋体"/>
                <w:sz w:val="18"/>
                <w:szCs w:val="18"/>
              </w:rPr>
            </w:pPr>
            <w:r>
              <w:rPr>
                <w:rFonts w:hint="eastAsia" w:ascii="宋体" w:hAnsi="宋体"/>
                <w:sz w:val="18"/>
                <w:szCs w:val="18"/>
              </w:rPr>
              <w:t>符合设计要求</w:t>
            </w:r>
          </w:p>
        </w:tc>
        <w:tc>
          <w:tcPr>
            <w:tcW w:w="649" w:type="pct"/>
            <w:vAlign w:val="center"/>
          </w:tcPr>
          <w:p w14:paraId="254597EE">
            <w:pPr>
              <w:snapToGrid w:val="0"/>
              <w:spacing w:line="240" w:lineRule="auto"/>
              <w:jc w:val="center"/>
              <w:rPr>
                <w:rFonts w:ascii="宋体" w:hAnsi="宋体"/>
                <w:sz w:val="18"/>
                <w:szCs w:val="18"/>
              </w:rPr>
            </w:pPr>
            <w:r>
              <w:rPr>
                <w:rFonts w:ascii="宋体" w:hAnsi="宋体"/>
                <w:sz w:val="18"/>
                <w:szCs w:val="18"/>
              </w:rPr>
              <w:t>全线连续</w:t>
            </w:r>
          </w:p>
        </w:tc>
        <w:tc>
          <w:tcPr>
            <w:tcW w:w="1051" w:type="pct"/>
            <w:vAlign w:val="center"/>
          </w:tcPr>
          <w:p w14:paraId="79E23D21">
            <w:pPr>
              <w:snapToGrid w:val="0"/>
              <w:spacing w:line="240" w:lineRule="auto"/>
              <w:jc w:val="center"/>
              <w:rPr>
                <w:rFonts w:ascii="宋体" w:hAnsi="宋体"/>
                <w:sz w:val="18"/>
                <w:szCs w:val="18"/>
              </w:rPr>
            </w:pPr>
            <w:r>
              <w:rPr>
                <w:rFonts w:ascii="宋体" w:hAnsi="宋体"/>
                <w:sz w:val="18"/>
                <w:szCs w:val="18"/>
              </w:rPr>
              <w:t>JTG 3450</w:t>
            </w:r>
            <w:r>
              <w:rPr>
                <w:rFonts w:hint="eastAsia" w:ascii="宋体" w:hAnsi="宋体"/>
                <w:sz w:val="18"/>
                <w:szCs w:val="18"/>
              </w:rPr>
              <w:t>—2019中的</w:t>
            </w:r>
            <w:r>
              <w:rPr>
                <w:rFonts w:ascii="宋体" w:hAnsi="宋体"/>
                <w:sz w:val="18"/>
                <w:szCs w:val="18"/>
              </w:rPr>
              <w:t>T 0965</w:t>
            </w:r>
          </w:p>
        </w:tc>
      </w:tr>
      <w:tr w14:paraId="13EC1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vMerge w:val="continue"/>
            <w:vAlign w:val="center"/>
          </w:tcPr>
          <w:p w14:paraId="56F39B56">
            <w:pPr>
              <w:snapToGrid w:val="0"/>
              <w:spacing w:line="240" w:lineRule="auto"/>
              <w:jc w:val="center"/>
              <w:rPr>
                <w:rFonts w:ascii="宋体" w:hAnsi="宋体"/>
                <w:sz w:val="18"/>
                <w:szCs w:val="18"/>
              </w:rPr>
            </w:pPr>
          </w:p>
        </w:tc>
        <w:tc>
          <w:tcPr>
            <w:tcW w:w="1348" w:type="pct"/>
            <w:vAlign w:val="center"/>
          </w:tcPr>
          <w:p w14:paraId="5A9B2375">
            <w:pPr>
              <w:snapToGrid w:val="0"/>
              <w:spacing w:line="240" w:lineRule="auto"/>
              <w:jc w:val="center"/>
              <w:rPr>
                <w:rFonts w:ascii="宋体" w:hAnsi="宋体"/>
                <w:kern w:val="0"/>
                <w:sz w:val="18"/>
                <w:szCs w:val="18"/>
              </w:rPr>
            </w:pPr>
            <w:r>
              <w:rPr>
                <w:rFonts w:ascii="宋体" w:hAnsi="宋体"/>
                <w:sz w:val="18"/>
                <w:szCs w:val="18"/>
              </w:rPr>
              <w:t>构造深度TD</w:t>
            </w:r>
            <w:r>
              <w:rPr>
                <w:rFonts w:hint="eastAsia" w:ascii="宋体" w:hAnsi="宋体"/>
                <w:sz w:val="18"/>
                <w:szCs w:val="18"/>
              </w:rPr>
              <w:t>/</w:t>
            </w:r>
            <w:bookmarkStart w:id="303" w:name="OLE_LINK8"/>
            <w:r>
              <w:rPr>
                <w:rFonts w:hint="eastAsia" w:ascii="宋体" w:hAnsi="宋体"/>
                <w:sz w:val="18"/>
                <w:szCs w:val="18"/>
              </w:rPr>
              <w:t>（</w:t>
            </w:r>
            <w:bookmarkEnd w:id="303"/>
            <w:r>
              <w:rPr>
                <w:rFonts w:ascii="宋体" w:hAnsi="宋体"/>
                <w:sz w:val="18"/>
                <w:szCs w:val="18"/>
              </w:rPr>
              <w:t>mm</w:t>
            </w:r>
            <w:r>
              <w:rPr>
                <w:rFonts w:hint="eastAsia" w:ascii="宋体" w:hAnsi="宋体"/>
                <w:sz w:val="18"/>
                <w:szCs w:val="18"/>
              </w:rPr>
              <w:t>）</w:t>
            </w:r>
            <w:r>
              <w:rPr>
                <w:rFonts w:ascii="宋体" w:hAnsi="宋体"/>
                <w:sz w:val="18"/>
                <w:szCs w:val="18"/>
              </w:rPr>
              <w:t xml:space="preserve"> </w:t>
            </w:r>
          </w:p>
        </w:tc>
        <w:tc>
          <w:tcPr>
            <w:tcW w:w="1320" w:type="pct"/>
            <w:vMerge w:val="continue"/>
            <w:vAlign w:val="center"/>
          </w:tcPr>
          <w:p w14:paraId="0CAC2AF4">
            <w:pPr>
              <w:snapToGrid w:val="0"/>
              <w:spacing w:line="240" w:lineRule="auto"/>
              <w:jc w:val="center"/>
              <w:rPr>
                <w:rFonts w:ascii="宋体" w:hAnsi="宋体"/>
                <w:sz w:val="18"/>
                <w:szCs w:val="18"/>
              </w:rPr>
            </w:pPr>
          </w:p>
        </w:tc>
        <w:tc>
          <w:tcPr>
            <w:tcW w:w="649" w:type="pct"/>
            <w:vAlign w:val="center"/>
          </w:tcPr>
          <w:p w14:paraId="43F89840">
            <w:pPr>
              <w:snapToGrid w:val="0"/>
              <w:spacing w:line="240" w:lineRule="auto"/>
              <w:jc w:val="center"/>
              <w:rPr>
                <w:rFonts w:ascii="宋体" w:hAnsi="宋体"/>
                <w:sz w:val="18"/>
                <w:szCs w:val="18"/>
              </w:rPr>
            </w:pPr>
            <w:r>
              <w:rPr>
                <w:rFonts w:ascii="宋体" w:hAnsi="宋体"/>
                <w:sz w:val="18"/>
                <w:szCs w:val="18"/>
              </w:rPr>
              <w:t>5个点/km</w:t>
            </w:r>
          </w:p>
        </w:tc>
        <w:tc>
          <w:tcPr>
            <w:tcW w:w="1051" w:type="pct"/>
            <w:vAlign w:val="center"/>
          </w:tcPr>
          <w:p w14:paraId="32F59F46">
            <w:pPr>
              <w:snapToGrid w:val="0"/>
              <w:spacing w:line="240" w:lineRule="auto"/>
              <w:jc w:val="center"/>
              <w:rPr>
                <w:rFonts w:ascii="宋体" w:hAnsi="宋体"/>
                <w:sz w:val="18"/>
                <w:szCs w:val="18"/>
              </w:rPr>
            </w:pPr>
            <w:r>
              <w:rPr>
                <w:rFonts w:ascii="宋体" w:hAnsi="宋体"/>
                <w:sz w:val="18"/>
                <w:szCs w:val="18"/>
              </w:rPr>
              <w:t>JTG 3450</w:t>
            </w:r>
            <w:r>
              <w:rPr>
                <w:rFonts w:hint="eastAsia" w:ascii="宋体" w:hAnsi="宋体"/>
                <w:sz w:val="18"/>
                <w:szCs w:val="18"/>
              </w:rPr>
              <w:t>—2019中的</w:t>
            </w:r>
            <w:r>
              <w:rPr>
                <w:rFonts w:ascii="宋体" w:hAnsi="宋体"/>
                <w:sz w:val="18"/>
                <w:szCs w:val="18"/>
              </w:rPr>
              <w:t>T 0961</w:t>
            </w:r>
          </w:p>
        </w:tc>
      </w:tr>
      <w:tr w14:paraId="2C31C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2" w:type="pct"/>
            <w:tcBorders>
              <w:top w:val="single" w:color="auto" w:sz="4" w:space="0"/>
              <w:left w:val="single" w:color="auto" w:sz="4" w:space="0"/>
              <w:bottom w:val="single" w:color="auto" w:sz="4" w:space="0"/>
              <w:right w:val="single" w:color="auto" w:sz="4" w:space="0"/>
            </w:tcBorders>
            <w:vAlign w:val="center"/>
          </w:tcPr>
          <w:p w14:paraId="63AD1B41">
            <w:pPr>
              <w:snapToGrid w:val="0"/>
              <w:spacing w:line="240" w:lineRule="auto"/>
              <w:jc w:val="center"/>
              <w:rPr>
                <w:rFonts w:ascii="宋体" w:hAnsi="宋体"/>
                <w:sz w:val="18"/>
                <w:szCs w:val="18"/>
              </w:rPr>
            </w:pPr>
            <w:r>
              <w:rPr>
                <w:rFonts w:ascii="宋体" w:hAnsi="宋体"/>
                <w:sz w:val="18"/>
                <w:szCs w:val="18"/>
              </w:rPr>
              <w:t>防水</w:t>
            </w:r>
          </w:p>
        </w:tc>
        <w:tc>
          <w:tcPr>
            <w:tcW w:w="1348" w:type="pct"/>
            <w:tcBorders>
              <w:top w:val="single" w:color="auto" w:sz="4" w:space="0"/>
              <w:left w:val="single" w:color="auto" w:sz="4" w:space="0"/>
              <w:bottom w:val="single" w:color="auto" w:sz="4" w:space="0"/>
              <w:right w:val="single" w:color="auto" w:sz="4" w:space="0"/>
            </w:tcBorders>
            <w:vAlign w:val="center"/>
          </w:tcPr>
          <w:p w14:paraId="02FB767E">
            <w:pPr>
              <w:snapToGrid w:val="0"/>
              <w:spacing w:line="240" w:lineRule="auto"/>
              <w:jc w:val="center"/>
              <w:rPr>
                <w:rFonts w:ascii="宋体" w:hAnsi="宋体"/>
                <w:sz w:val="18"/>
                <w:szCs w:val="18"/>
              </w:rPr>
            </w:pPr>
            <w:r>
              <w:rPr>
                <w:rFonts w:ascii="宋体" w:hAnsi="宋体"/>
                <w:sz w:val="18"/>
                <w:szCs w:val="18"/>
              </w:rPr>
              <w:t>渗水系数</w:t>
            </w:r>
            <w:bookmarkStart w:id="304" w:name="OLE_LINK5"/>
            <w:r>
              <w:rPr>
                <w:rFonts w:hint="eastAsia" w:ascii="宋体" w:hAnsi="宋体"/>
                <w:sz w:val="18"/>
                <w:szCs w:val="18"/>
              </w:rPr>
              <w:t>/</w:t>
            </w:r>
            <w:bookmarkEnd w:id="304"/>
            <w:r>
              <w:rPr>
                <w:rFonts w:hint="eastAsia" w:ascii="宋体" w:hAnsi="宋体"/>
                <w:sz w:val="18"/>
                <w:szCs w:val="18"/>
              </w:rPr>
              <w:t>（</w:t>
            </w:r>
            <w:r>
              <w:rPr>
                <w:rFonts w:ascii="宋体" w:hAnsi="宋体"/>
                <w:sz w:val="18"/>
                <w:szCs w:val="18"/>
              </w:rPr>
              <w:t>ml/min</w:t>
            </w:r>
            <w:r>
              <w:rPr>
                <w:rFonts w:hint="eastAsia" w:ascii="宋体" w:hAnsi="宋体"/>
                <w:sz w:val="18"/>
                <w:szCs w:val="18"/>
              </w:rPr>
              <w:t>）</w:t>
            </w:r>
          </w:p>
        </w:tc>
        <w:tc>
          <w:tcPr>
            <w:tcW w:w="1320" w:type="pct"/>
            <w:tcBorders>
              <w:top w:val="single" w:color="auto" w:sz="4" w:space="0"/>
              <w:left w:val="single" w:color="auto" w:sz="4" w:space="0"/>
              <w:bottom w:val="single" w:color="auto" w:sz="4" w:space="0"/>
              <w:right w:val="single" w:color="auto" w:sz="4" w:space="0"/>
            </w:tcBorders>
            <w:vAlign w:val="center"/>
          </w:tcPr>
          <w:p w14:paraId="03FD6624">
            <w:pPr>
              <w:snapToGrid w:val="0"/>
              <w:spacing w:line="240" w:lineRule="auto"/>
              <w:jc w:val="center"/>
              <w:rPr>
                <w:rFonts w:ascii="宋体" w:hAnsi="宋体"/>
                <w:sz w:val="18"/>
                <w:szCs w:val="18"/>
              </w:rPr>
            </w:pPr>
            <w:r>
              <w:rPr>
                <w:rFonts w:hint="eastAsia" w:ascii="宋体" w:hAnsi="宋体"/>
                <w:sz w:val="18"/>
                <w:szCs w:val="18"/>
              </w:rPr>
              <w:t>≤</w:t>
            </w:r>
            <w:r>
              <w:rPr>
                <w:rFonts w:ascii="宋体" w:hAnsi="宋体"/>
                <w:sz w:val="18"/>
                <w:szCs w:val="18"/>
              </w:rPr>
              <w:t>80</w:t>
            </w:r>
          </w:p>
        </w:tc>
        <w:tc>
          <w:tcPr>
            <w:tcW w:w="649" w:type="pct"/>
            <w:tcBorders>
              <w:top w:val="single" w:color="auto" w:sz="4" w:space="0"/>
              <w:left w:val="single" w:color="auto" w:sz="4" w:space="0"/>
              <w:bottom w:val="single" w:color="auto" w:sz="4" w:space="0"/>
              <w:right w:val="single" w:color="auto" w:sz="4" w:space="0"/>
            </w:tcBorders>
            <w:vAlign w:val="center"/>
          </w:tcPr>
          <w:p w14:paraId="2B44268F">
            <w:pPr>
              <w:snapToGrid w:val="0"/>
              <w:spacing w:line="240" w:lineRule="auto"/>
              <w:jc w:val="center"/>
              <w:rPr>
                <w:rFonts w:ascii="宋体" w:hAnsi="宋体"/>
                <w:sz w:val="18"/>
                <w:szCs w:val="18"/>
              </w:rPr>
            </w:pPr>
            <w:r>
              <w:rPr>
                <w:rFonts w:hint="eastAsia" w:ascii="宋体" w:hAnsi="宋体"/>
                <w:sz w:val="18"/>
                <w:szCs w:val="18"/>
              </w:rPr>
              <w:t>每1500 m</w:t>
            </w:r>
            <w:r>
              <w:rPr>
                <w:rFonts w:hint="eastAsia" w:ascii="宋体" w:hAnsi="宋体"/>
                <w:sz w:val="18"/>
                <w:szCs w:val="18"/>
                <w:vertAlign w:val="superscript"/>
              </w:rPr>
              <w:t>2</w:t>
            </w:r>
            <w:r>
              <w:rPr>
                <w:rFonts w:hint="eastAsia" w:ascii="宋体" w:hAnsi="宋体"/>
                <w:sz w:val="18"/>
                <w:szCs w:val="18"/>
              </w:rPr>
              <w:t>测一处</w:t>
            </w:r>
            <w:r>
              <w:rPr>
                <w:rFonts w:ascii="宋体" w:hAnsi="宋体"/>
                <w:sz w:val="18"/>
                <w:szCs w:val="18"/>
              </w:rPr>
              <w:t xml:space="preserve"> </w:t>
            </w:r>
          </w:p>
        </w:tc>
        <w:tc>
          <w:tcPr>
            <w:tcW w:w="1051" w:type="pct"/>
            <w:tcBorders>
              <w:top w:val="single" w:color="auto" w:sz="4" w:space="0"/>
              <w:left w:val="single" w:color="auto" w:sz="4" w:space="0"/>
              <w:bottom w:val="single" w:color="auto" w:sz="4" w:space="0"/>
              <w:right w:val="single" w:color="auto" w:sz="4" w:space="0"/>
            </w:tcBorders>
            <w:vAlign w:val="center"/>
          </w:tcPr>
          <w:p w14:paraId="7087FE40">
            <w:pPr>
              <w:snapToGrid w:val="0"/>
              <w:spacing w:line="240" w:lineRule="auto"/>
              <w:jc w:val="center"/>
              <w:rPr>
                <w:rFonts w:ascii="宋体" w:hAnsi="宋体"/>
                <w:sz w:val="18"/>
                <w:szCs w:val="18"/>
              </w:rPr>
            </w:pPr>
            <w:r>
              <w:rPr>
                <w:rFonts w:ascii="宋体" w:hAnsi="宋体"/>
                <w:sz w:val="18"/>
                <w:szCs w:val="18"/>
              </w:rPr>
              <w:t>JTG 3450</w:t>
            </w:r>
            <w:r>
              <w:rPr>
                <w:rFonts w:hint="eastAsia" w:ascii="宋体" w:hAnsi="宋体"/>
                <w:sz w:val="18"/>
                <w:szCs w:val="18"/>
              </w:rPr>
              <w:t>—2019中的</w:t>
            </w:r>
            <w:r>
              <w:rPr>
                <w:rFonts w:ascii="宋体" w:hAnsi="宋体"/>
                <w:sz w:val="18"/>
                <w:szCs w:val="18"/>
              </w:rPr>
              <w:t>T 0971</w:t>
            </w:r>
          </w:p>
        </w:tc>
      </w:tr>
      <w:bookmarkEnd w:id="300"/>
    </w:tbl>
    <w:p w14:paraId="0C5377AC">
      <w:pPr>
        <w:widowControl/>
        <w:jc w:val="left"/>
        <w:rPr>
          <w:rFonts w:ascii="黑体" w:eastAsia="黑体"/>
          <w:kern w:val="0"/>
          <w:szCs w:val="20"/>
        </w:rPr>
      </w:pPr>
    </w:p>
    <w:p w14:paraId="32E5E79E">
      <w:pPr>
        <w:pStyle w:val="64"/>
        <w:ind w:firstLine="420"/>
        <w:sectPr>
          <w:pgSz w:w="11906" w:h="16838"/>
          <w:pgMar w:top="1928" w:right="1134" w:bottom="1134" w:left="1134" w:header="1418" w:footer="1134" w:gutter="284"/>
          <w:pgNumType w:start="1"/>
          <w:cols w:space="425" w:num="1"/>
          <w:formProt w:val="0"/>
          <w:docGrid w:type="lines" w:linePitch="312" w:charSpace="0"/>
        </w:sectPr>
      </w:pPr>
    </w:p>
    <w:p w14:paraId="422942B0">
      <w:pPr>
        <w:pStyle w:val="206"/>
      </w:pPr>
    </w:p>
    <w:p w14:paraId="43F03354">
      <w:pPr>
        <w:pStyle w:val="207"/>
      </w:pPr>
    </w:p>
    <w:p w14:paraId="70EDEBBD">
      <w:pPr>
        <w:pStyle w:val="84"/>
        <w:spacing w:after="156"/>
      </w:pPr>
      <w:r>
        <w:br w:type="textWrapping"/>
      </w:r>
      <w:bookmarkStart w:id="305" w:name="_Toc183898309"/>
      <w:bookmarkStart w:id="306" w:name="_Toc183898462"/>
      <w:bookmarkStart w:id="307" w:name="_Toc184997601"/>
      <w:bookmarkStart w:id="308" w:name="_Toc183898588"/>
      <w:bookmarkStart w:id="309" w:name="_Toc183897624"/>
      <w:bookmarkStart w:id="310" w:name="_Toc183897550"/>
      <w:r>
        <w:rPr>
          <w:rFonts w:hint="eastAsia"/>
        </w:rPr>
        <w:t>（规范性）</w:t>
      </w:r>
      <w:r>
        <w:br w:type="textWrapping"/>
      </w:r>
      <w:r>
        <w:rPr>
          <w:rFonts w:hint="eastAsia"/>
        </w:rPr>
        <w:t>高温压碎值试验方法</w:t>
      </w:r>
      <w:bookmarkEnd w:id="305"/>
      <w:bookmarkEnd w:id="306"/>
      <w:bookmarkEnd w:id="307"/>
      <w:bookmarkEnd w:id="308"/>
      <w:bookmarkEnd w:id="309"/>
      <w:bookmarkEnd w:id="310"/>
    </w:p>
    <w:p w14:paraId="7279A3C6">
      <w:pPr>
        <w:pStyle w:val="86"/>
        <w:spacing w:before="156" w:after="156"/>
      </w:pPr>
      <w:bookmarkStart w:id="311" w:name="_Toc175831144"/>
      <w:bookmarkStart w:id="312" w:name="_Toc183898310"/>
      <w:bookmarkStart w:id="313" w:name="_Toc176167869"/>
      <w:bookmarkStart w:id="314" w:name="_Toc183898463"/>
      <w:bookmarkStart w:id="315" w:name="_Toc183897551"/>
      <w:bookmarkStart w:id="316" w:name="_Toc183898625"/>
      <w:bookmarkStart w:id="317" w:name="_Toc183897625"/>
      <w:bookmarkStart w:id="318" w:name="_Toc109140526"/>
      <w:bookmarkStart w:id="319" w:name="_Toc143596002"/>
      <w:bookmarkStart w:id="320" w:name="_Toc184997602"/>
      <w:r>
        <w:t>仪具与材料</w:t>
      </w:r>
      <w:bookmarkEnd w:id="311"/>
      <w:bookmarkEnd w:id="312"/>
      <w:bookmarkEnd w:id="313"/>
      <w:bookmarkEnd w:id="314"/>
      <w:bookmarkEnd w:id="315"/>
      <w:bookmarkEnd w:id="316"/>
      <w:bookmarkEnd w:id="317"/>
      <w:bookmarkEnd w:id="318"/>
      <w:bookmarkEnd w:id="319"/>
      <w:bookmarkEnd w:id="320"/>
    </w:p>
    <w:p w14:paraId="3F8CD558">
      <w:pPr>
        <w:pStyle w:val="87"/>
        <w:spacing w:before="156" w:after="156"/>
        <w:rPr>
          <w:rFonts w:ascii="宋体" w:hAnsi="宋体" w:eastAsia="宋体"/>
        </w:rPr>
      </w:pPr>
      <w:r>
        <w:rPr>
          <w:rFonts w:hint="eastAsia" w:ascii="宋体" w:hAnsi="宋体" w:eastAsia="宋体"/>
        </w:rPr>
        <w:t>烘箱：能保持恒温190℃±5℃。</w:t>
      </w:r>
    </w:p>
    <w:p w14:paraId="18E178E6">
      <w:pPr>
        <w:pStyle w:val="87"/>
        <w:spacing w:before="156" w:after="156"/>
        <w:rPr>
          <w:rFonts w:ascii="宋体" w:hAnsi="宋体" w:eastAsia="宋体"/>
        </w:rPr>
      </w:pPr>
      <w:r>
        <w:rPr>
          <w:rFonts w:hint="eastAsia" w:ascii="宋体" w:hAnsi="宋体" w:eastAsia="宋体"/>
        </w:rPr>
        <w:t>其他</w:t>
      </w:r>
      <w:r>
        <w:rPr>
          <w:rFonts w:ascii="宋体" w:hAnsi="宋体" w:eastAsia="宋体"/>
        </w:rPr>
        <w:t>仪器</w:t>
      </w:r>
      <w:r>
        <w:rPr>
          <w:rFonts w:hint="eastAsia" w:ascii="宋体" w:hAnsi="宋体" w:eastAsia="宋体"/>
        </w:rPr>
        <w:t>与材料</w:t>
      </w:r>
      <w:r>
        <w:rPr>
          <w:rFonts w:ascii="宋体" w:hAnsi="宋体" w:eastAsia="宋体"/>
        </w:rPr>
        <w:t>应符合</w:t>
      </w:r>
      <w:bookmarkStart w:id="321" w:name="OLE_LINK1"/>
      <w:r>
        <w:rPr>
          <w:rFonts w:ascii="宋体" w:hAnsi="宋体" w:eastAsia="宋体"/>
        </w:rPr>
        <w:t>JTG 3432-2024中</w:t>
      </w:r>
      <w:bookmarkEnd w:id="321"/>
      <w:r>
        <w:rPr>
          <w:rFonts w:ascii="宋体" w:hAnsi="宋体" w:eastAsia="宋体"/>
        </w:rPr>
        <w:t>T 0316的规定。</w:t>
      </w:r>
    </w:p>
    <w:p w14:paraId="1CE7C08F">
      <w:pPr>
        <w:pStyle w:val="86"/>
        <w:spacing w:before="156" w:after="156"/>
      </w:pPr>
      <w:bookmarkStart w:id="322" w:name="_Toc184997603"/>
      <w:bookmarkStart w:id="323" w:name="_Toc183897626"/>
      <w:bookmarkStart w:id="324" w:name="_Toc183897552"/>
      <w:bookmarkStart w:id="325" w:name="_Toc183898626"/>
      <w:bookmarkStart w:id="326" w:name="_Toc109140527"/>
      <w:bookmarkStart w:id="327" w:name="_Toc175831145"/>
      <w:bookmarkStart w:id="328" w:name="_Toc143596003"/>
      <w:bookmarkStart w:id="329" w:name="_Toc176167870"/>
      <w:bookmarkStart w:id="330" w:name="_Toc183898464"/>
      <w:bookmarkStart w:id="331" w:name="_Toc183898311"/>
      <w:r>
        <w:t>试验准备</w:t>
      </w:r>
      <w:bookmarkEnd w:id="322"/>
      <w:bookmarkEnd w:id="323"/>
      <w:bookmarkEnd w:id="324"/>
      <w:bookmarkEnd w:id="325"/>
      <w:bookmarkEnd w:id="326"/>
      <w:bookmarkEnd w:id="327"/>
      <w:bookmarkEnd w:id="328"/>
      <w:bookmarkEnd w:id="329"/>
      <w:bookmarkEnd w:id="330"/>
      <w:bookmarkEnd w:id="331"/>
    </w:p>
    <w:p w14:paraId="01D2FFDA">
      <w:pPr>
        <w:pStyle w:val="87"/>
        <w:spacing w:before="156" w:after="156"/>
        <w:rPr>
          <w:rFonts w:ascii="宋体" w:hAnsi="宋体" w:eastAsia="宋体"/>
        </w:rPr>
      </w:pPr>
      <w:r>
        <w:rPr>
          <w:rFonts w:hint="eastAsia" w:ascii="宋体" w:hAnsi="宋体" w:eastAsia="宋体"/>
        </w:rPr>
        <w:t>取同一料场，同一批次的风干石料S10（10 mm～15 mm），将样品用9.5 mm和13.2 mm试验筛充分过筛，取9.5 mm～13.2 mm粒级缩分至约3000 g试样3份。</w:t>
      </w:r>
    </w:p>
    <w:p w14:paraId="16ADEFC4">
      <w:pPr>
        <w:pStyle w:val="87"/>
        <w:spacing w:before="156" w:after="156"/>
        <w:rPr>
          <w:rFonts w:ascii="宋体" w:hAnsi="宋体" w:eastAsia="宋体"/>
        </w:rPr>
      </w:pPr>
      <w:r>
        <w:rPr>
          <w:rFonts w:hint="eastAsia" w:ascii="宋体" w:hAnsi="宋体" w:eastAsia="宋体"/>
        </w:rPr>
        <w:t>将试样浸泡在水中，借助金属丝刷将颗粒表面洗刷干净，经多次漂洗至水清澈为止。沥干，105℃±5℃烘干至表面干燥，烘干时间不超过4 h，然后冷却至室温。</w:t>
      </w:r>
    </w:p>
    <w:p w14:paraId="29D3F412">
      <w:pPr>
        <w:pStyle w:val="87"/>
        <w:spacing w:before="156" w:after="156"/>
        <w:rPr>
          <w:rFonts w:ascii="宋体" w:hAnsi="宋体" w:eastAsia="宋体"/>
        </w:rPr>
      </w:pPr>
      <w:r>
        <w:rPr>
          <w:rFonts w:hint="eastAsia" w:ascii="宋体" w:hAnsi="宋体" w:eastAsia="宋体"/>
        </w:rPr>
        <w:t>取一份试样，分3次等量装入金属筒中。每次装料后，将表面整平，用金属棒半球面端从试样表面上50 mm高度处自由下落均匀夯击试样，应在试样表面均匀分布夯击25次。最后一次装料时，应装料至溢出，夯击完成后用金属棒将表面刮平。金属筒中试样用减量法称取质量（</w:t>
      </w:r>
      <m:oMath>
        <m:sSub>
          <m:sSubPr>
            <m:ctrlPr>
              <w:rPr>
                <w:rFonts w:ascii="Cambria Math" w:hAnsi="Cambria Math" w:eastAsia="宋体"/>
                <w:i/>
              </w:rPr>
            </m:ctrlPr>
          </m:sSubPr>
          <m:e>
            <m:r>
              <m:rPr/>
              <w:rPr>
                <w:rFonts w:ascii="Cambria Math" w:hAnsi="Cambria Math" w:eastAsia="宋体"/>
              </w:rPr>
              <m:t>m</m:t>
            </m:r>
            <m:ctrlPr>
              <w:rPr>
                <w:rFonts w:ascii="Cambria Math" w:hAnsi="Cambria Math" w:eastAsia="宋体"/>
                <w:i/>
              </w:rPr>
            </m:ctrlPr>
          </m:e>
          <m:sub>
            <m:r>
              <m:rPr/>
              <w:rPr>
                <w:rFonts w:ascii="Cambria Math" w:hAnsi="Cambria Math" w:eastAsia="宋体"/>
              </w:rPr>
              <m:t>0</m:t>
            </m:r>
            <m:ctrlPr>
              <w:rPr>
                <w:rFonts w:ascii="Cambria Math" w:hAnsi="Cambria Math" w:eastAsia="宋体"/>
                <w:i/>
              </w:rPr>
            </m:ctrlPr>
          </m:sub>
        </m:sSub>
        <m:r>
          <m:rPr/>
          <w:rPr>
            <w:rFonts w:ascii="Cambria Math" w:hAnsi="Cambria Math" w:eastAsia="宋体"/>
          </w:rPr>
          <m:t>'</m:t>
        </m:r>
      </m:oMath>
      <w:r>
        <w:rPr>
          <w:rFonts w:hint="eastAsia" w:ascii="宋体" w:hAnsi="宋体" w:eastAsia="宋体"/>
        </w:rPr>
        <w:t>）后，予以废弃。</w:t>
      </w:r>
    </w:p>
    <w:p w14:paraId="4347140E">
      <w:pPr>
        <w:pStyle w:val="86"/>
        <w:spacing w:before="156" w:after="156"/>
      </w:pPr>
      <w:bookmarkStart w:id="332" w:name="_Toc183898312"/>
      <w:bookmarkStart w:id="333" w:name="_Toc183898627"/>
      <w:bookmarkStart w:id="334" w:name="_Toc184997604"/>
      <w:bookmarkStart w:id="335" w:name="_Toc183897627"/>
      <w:bookmarkStart w:id="336" w:name="_Toc183898465"/>
      <w:bookmarkStart w:id="337" w:name="_Toc183897553"/>
      <w:r>
        <w:t>试验</w:t>
      </w:r>
      <w:bookmarkStart w:id="338" w:name="_Toc143596004"/>
      <w:bookmarkStart w:id="339" w:name="_Toc176167871"/>
      <w:bookmarkStart w:id="340" w:name="_Toc175831146"/>
      <w:bookmarkStart w:id="341" w:name="_Toc109140528"/>
      <w:r>
        <w:t>步骤</w:t>
      </w:r>
      <w:bookmarkEnd w:id="332"/>
      <w:bookmarkEnd w:id="333"/>
      <w:bookmarkEnd w:id="334"/>
      <w:bookmarkEnd w:id="335"/>
      <w:bookmarkEnd w:id="336"/>
      <w:bookmarkEnd w:id="337"/>
      <w:bookmarkEnd w:id="338"/>
      <w:bookmarkEnd w:id="339"/>
      <w:bookmarkEnd w:id="340"/>
      <w:bookmarkEnd w:id="341"/>
    </w:p>
    <w:p w14:paraId="18D93BCC">
      <w:pPr>
        <w:pStyle w:val="87"/>
        <w:spacing w:before="156" w:after="156"/>
        <w:rPr>
          <w:rFonts w:ascii="宋体" w:hAnsi="宋体" w:eastAsia="宋体"/>
        </w:rPr>
      </w:pPr>
      <w:r>
        <w:rPr>
          <w:rFonts w:hint="eastAsia" w:ascii="宋体" w:hAnsi="宋体" w:eastAsia="宋体"/>
        </w:rPr>
        <w:t>取一份试样，从中取质量为</w:t>
      </w:r>
      <m:oMath>
        <m:sSub>
          <m:sSubPr>
            <m:ctrlPr>
              <w:rPr>
                <w:rFonts w:ascii="Cambria Math" w:hAnsi="Cambria Math" w:eastAsia="宋体"/>
                <w:i/>
              </w:rPr>
            </m:ctrlPr>
          </m:sSubPr>
          <m:e>
            <m:r>
              <m:rPr/>
              <w:rPr>
                <w:rFonts w:ascii="Cambria Math" w:hAnsi="Cambria Math" w:eastAsia="宋体"/>
              </w:rPr>
              <m:t>m</m:t>
            </m:r>
            <m:ctrlPr>
              <w:rPr>
                <w:rFonts w:ascii="Cambria Math" w:hAnsi="Cambria Math" w:eastAsia="宋体"/>
                <w:i/>
              </w:rPr>
            </m:ctrlPr>
          </m:e>
          <m:sub>
            <m:r>
              <m:rPr/>
              <w:rPr>
                <w:rFonts w:ascii="Cambria Math" w:hAnsi="Cambria Math" w:eastAsia="宋体"/>
              </w:rPr>
              <m:t>0</m:t>
            </m:r>
            <m:ctrlPr>
              <w:rPr>
                <w:rFonts w:ascii="Cambria Math" w:hAnsi="Cambria Math" w:eastAsia="宋体"/>
                <w:i/>
              </w:rPr>
            </m:ctrlPr>
          </m:sub>
        </m:sSub>
        <m:r>
          <m:rPr/>
          <w:rPr>
            <w:rFonts w:ascii="Cambria Math" w:hAnsi="Cambria Math" w:eastAsia="宋体"/>
          </w:rPr>
          <m:t>'</m:t>
        </m:r>
      </m:oMath>
      <w:r>
        <w:rPr>
          <w:rFonts w:hint="eastAsia" w:ascii="宋体" w:hAnsi="宋体" w:eastAsia="宋体"/>
        </w:rPr>
        <w:t>±5 g试样一份，称取其质量，记为</w:t>
      </w:r>
      <m:oMath>
        <m:sSub>
          <m:sSubPr>
            <m:ctrlPr>
              <w:rPr>
                <w:rFonts w:ascii="Cambria Math" w:hAnsi="Cambria Math" w:eastAsia="宋体"/>
                <w:i/>
              </w:rPr>
            </m:ctrlPr>
          </m:sSubPr>
          <m:e>
            <m:r>
              <m:rPr/>
              <w:rPr>
                <w:rFonts w:ascii="Cambria Math" w:hAnsi="Cambria Math" w:eastAsia="宋体"/>
              </w:rPr>
              <m:t>m</m:t>
            </m:r>
            <m:ctrlPr>
              <w:rPr>
                <w:rFonts w:ascii="Cambria Math" w:hAnsi="Cambria Math" w:eastAsia="宋体"/>
                <w:i/>
              </w:rPr>
            </m:ctrlPr>
          </m:e>
          <m:sub>
            <m:r>
              <m:rPr/>
              <w:rPr>
                <w:rFonts w:ascii="Cambria Math" w:hAnsi="Cambria Math" w:eastAsia="宋体"/>
              </w:rPr>
              <m:t>0</m:t>
            </m:r>
            <m:ctrlPr>
              <w:rPr>
                <w:rFonts w:ascii="Cambria Math" w:hAnsi="Cambria Math" w:eastAsia="宋体"/>
                <w:i/>
              </w:rPr>
            </m:ctrlPr>
          </m:sub>
        </m:sSub>
      </m:oMath>
      <w:r>
        <w:rPr>
          <w:rFonts w:hint="eastAsia" w:ascii="宋体" w:hAnsi="宋体" w:eastAsia="宋体"/>
        </w:rPr>
        <w:t>。</w:t>
      </w:r>
    </w:p>
    <w:p w14:paraId="60D7CB5D">
      <w:pPr>
        <w:pStyle w:val="87"/>
        <w:spacing w:before="156" w:after="156"/>
        <w:rPr>
          <w:rFonts w:ascii="宋体" w:hAnsi="宋体" w:eastAsia="宋体"/>
        </w:rPr>
      </w:pPr>
      <w:r>
        <w:rPr>
          <w:rFonts w:hint="eastAsia" w:ascii="宋体" w:hAnsi="宋体" w:eastAsia="宋体"/>
        </w:rPr>
        <w:t>将试筒安放在底板上。将称取质量的试样分3次等量装入试模中，按A.2.3方法夯击，最后将表面整平。</w:t>
      </w:r>
    </w:p>
    <w:p w14:paraId="51A188D9">
      <w:pPr>
        <w:pStyle w:val="87"/>
        <w:spacing w:before="156" w:after="156"/>
        <w:rPr>
          <w:rFonts w:ascii="宋体" w:hAnsi="宋体" w:eastAsia="宋体"/>
        </w:rPr>
      </w:pPr>
      <w:r>
        <w:rPr>
          <w:rFonts w:ascii="宋体" w:hAnsi="宋体" w:eastAsia="宋体"/>
        </w:rPr>
        <w:t>将装有试样的金属筒和压柱一起放入190℃±</w:t>
      </w:r>
      <w:r>
        <w:rPr>
          <w:rFonts w:hint="eastAsia" w:ascii="宋体" w:hAnsi="宋体" w:eastAsia="宋体"/>
        </w:rPr>
        <w:t>5</w:t>
      </w:r>
      <w:r>
        <w:rPr>
          <w:rFonts w:ascii="宋体" w:hAnsi="宋体" w:eastAsia="宋体"/>
        </w:rPr>
        <w:t>℃的烘箱内保温2</w:t>
      </w:r>
      <w:r>
        <w:rPr>
          <w:rFonts w:hint="eastAsia" w:ascii="宋体" w:hAnsi="宋体" w:eastAsia="宋体"/>
        </w:rPr>
        <w:t xml:space="preserve"> h</w:t>
      </w:r>
      <w:r>
        <w:rPr>
          <w:rFonts w:ascii="宋体" w:hAnsi="宋体" w:eastAsia="宋体"/>
        </w:rPr>
        <w:t>。</w:t>
      </w:r>
    </w:p>
    <w:p w14:paraId="3D0BD369">
      <w:pPr>
        <w:pStyle w:val="87"/>
        <w:spacing w:before="156" w:after="156"/>
        <w:rPr>
          <w:rFonts w:ascii="宋体" w:hAnsi="宋体" w:eastAsia="宋体"/>
        </w:rPr>
      </w:pPr>
      <w:r>
        <w:rPr>
          <w:rFonts w:hint="eastAsia" w:ascii="宋体" w:hAnsi="宋体" w:eastAsia="宋体"/>
        </w:rPr>
        <w:t>将装有试样的试筒取出安放在压力机上，同时将压柱放到试筒内压在试样表面，注意压柱不应在试筒内卡住。</w:t>
      </w:r>
    </w:p>
    <w:p w14:paraId="09BA302D">
      <w:pPr>
        <w:pStyle w:val="87"/>
        <w:spacing w:before="156" w:after="156"/>
        <w:rPr>
          <w:rFonts w:ascii="宋体" w:hAnsi="宋体" w:eastAsia="宋体"/>
        </w:rPr>
      </w:pPr>
      <w:r>
        <w:rPr>
          <w:rFonts w:hint="eastAsia" w:ascii="宋体" w:hAnsi="宋体" w:eastAsia="宋体"/>
        </w:rPr>
        <w:t>操作压力机，均匀地施加荷载，并在10 min±30 s内加到400 kN，然后立即卸除荷载。</w:t>
      </w:r>
    </w:p>
    <w:p w14:paraId="46D6D755">
      <w:pPr>
        <w:pStyle w:val="87"/>
        <w:spacing w:before="156" w:after="156"/>
        <w:rPr>
          <w:rFonts w:ascii="宋体" w:hAnsi="宋体" w:eastAsia="宋体"/>
        </w:rPr>
      </w:pPr>
      <w:r>
        <w:rPr>
          <w:rFonts w:hint="eastAsia" w:ascii="宋体" w:hAnsi="宋体" w:eastAsia="宋体"/>
        </w:rPr>
        <w:t>从压力机上取下试筒，将试样移人金属盘中；必要时使用橡胶锤敲击试筒外壁便于试样倒出；用毛刷清理试筒上的集料颗粒一并移人金属盘中。</w:t>
      </w:r>
    </w:p>
    <w:p w14:paraId="3B0FBF6E">
      <w:pPr>
        <w:pStyle w:val="87"/>
        <w:spacing w:before="156" w:after="156"/>
        <w:rPr>
          <w:rFonts w:ascii="宋体" w:hAnsi="宋体" w:eastAsia="宋体"/>
        </w:rPr>
      </w:pPr>
      <w:r>
        <w:rPr>
          <w:rFonts w:hint="eastAsia" w:ascii="宋体" w:hAnsi="宋体" w:eastAsia="宋体"/>
        </w:rPr>
        <w:t>按</w:t>
      </w:r>
      <w:r>
        <w:rPr>
          <w:rFonts w:ascii="宋体" w:hAnsi="宋体" w:eastAsia="宋体"/>
        </w:rPr>
        <w:t>JTG 3432中</w:t>
      </w:r>
      <w:r>
        <w:rPr>
          <w:rFonts w:hint="eastAsia" w:ascii="宋体" w:hAnsi="宋体" w:eastAsia="宋体"/>
        </w:rPr>
        <w:t>T 0302干筛法，采用2.36 mm试验筛充分过筛。</w:t>
      </w:r>
    </w:p>
    <w:p w14:paraId="662FB9D9">
      <w:pPr>
        <w:pStyle w:val="87"/>
        <w:spacing w:before="156" w:after="156"/>
        <w:rPr>
          <w:rFonts w:ascii="宋体" w:hAnsi="宋体" w:eastAsia="宋体"/>
        </w:rPr>
      </w:pPr>
      <w:r>
        <w:rPr>
          <w:rFonts w:hint="eastAsia" w:ascii="宋体" w:hAnsi="宋体" w:eastAsia="宋体"/>
        </w:rPr>
        <w:t>称取2.36 mm筛上集料质量（</w:t>
      </w:r>
      <m:oMath>
        <m:sSub>
          <m:sSubPr>
            <m:ctrlPr>
              <w:rPr>
                <w:rFonts w:ascii="Cambria Math" w:hAnsi="Cambria Math" w:eastAsia="宋体"/>
                <w:i/>
              </w:rPr>
            </m:ctrlPr>
          </m:sSubPr>
          <m:e>
            <m:r>
              <m:rPr/>
              <w:rPr>
                <w:rFonts w:ascii="Cambria Math" w:hAnsi="Cambria Math" w:eastAsia="宋体"/>
              </w:rPr>
              <m:t>m</m:t>
            </m:r>
            <m:ctrlPr>
              <w:rPr>
                <w:rFonts w:ascii="Cambria Math" w:hAnsi="Cambria Math" w:eastAsia="宋体"/>
                <w:i/>
              </w:rPr>
            </m:ctrlPr>
          </m:e>
          <m:sub>
            <m:r>
              <m:rPr/>
              <w:rPr>
                <w:rFonts w:ascii="Cambria Math" w:hAnsi="Cambria Math" w:eastAsia="宋体"/>
              </w:rPr>
              <m:t>1</m:t>
            </m:r>
            <m:ctrlPr>
              <w:rPr>
                <w:rFonts w:ascii="Cambria Math" w:hAnsi="Cambria Math" w:eastAsia="宋体"/>
                <w:i/>
              </w:rPr>
            </m:ctrlPr>
          </m:sub>
        </m:sSub>
      </m:oMath>
      <w:r>
        <w:rPr>
          <w:rFonts w:hint="eastAsia" w:ascii="宋体" w:hAnsi="宋体" w:eastAsia="宋体"/>
        </w:rPr>
        <w:t>）和2.36 mm筛下集料质量（</w:t>
      </w:r>
      <m:oMath>
        <m:sSub>
          <m:sSubPr>
            <m:ctrlPr>
              <w:rPr>
                <w:rFonts w:ascii="Cambria Math" w:hAnsi="Cambria Math" w:eastAsia="宋体"/>
                <w:i/>
              </w:rPr>
            </m:ctrlPr>
          </m:sSubPr>
          <m:e>
            <m:r>
              <m:rPr/>
              <w:rPr>
                <w:rFonts w:ascii="Cambria Math" w:hAnsi="Cambria Math" w:eastAsia="宋体"/>
              </w:rPr>
              <m:t>m</m:t>
            </m:r>
            <m:ctrlPr>
              <w:rPr>
                <w:rFonts w:ascii="Cambria Math" w:hAnsi="Cambria Math" w:eastAsia="宋体"/>
                <w:i/>
              </w:rPr>
            </m:ctrlPr>
          </m:e>
          <m:sub>
            <m:r>
              <m:rPr/>
              <w:rPr>
                <w:rFonts w:ascii="Cambria Math" w:hAnsi="Cambria Math" w:eastAsia="宋体"/>
              </w:rPr>
              <m:t>2</m:t>
            </m:r>
            <m:ctrlPr>
              <w:rPr>
                <w:rFonts w:ascii="Cambria Math" w:hAnsi="Cambria Math" w:eastAsia="宋体"/>
                <w:i/>
              </w:rPr>
            </m:ctrlPr>
          </m:sub>
        </m:sSub>
      </m:oMath>
      <w:r>
        <w:rPr>
          <w:rFonts w:hint="eastAsia" w:ascii="宋体" w:hAnsi="宋体" w:eastAsia="宋体"/>
        </w:rPr>
        <w:t>）。</w:t>
      </w:r>
    </w:p>
    <w:p w14:paraId="4FF9A055">
      <w:pPr>
        <w:pStyle w:val="87"/>
        <w:spacing w:before="156" w:after="156"/>
        <w:rPr>
          <w:rFonts w:ascii="宋体" w:hAnsi="宋体" w:eastAsia="宋体"/>
        </w:rPr>
      </w:pPr>
      <w:r>
        <w:rPr>
          <w:rFonts w:hint="eastAsia" w:ascii="宋体" w:hAnsi="宋体" w:eastAsia="宋体"/>
        </w:rPr>
        <w:t>取另外一份试样，按照以上步骤进行试验。</w:t>
      </w:r>
    </w:p>
    <w:p w14:paraId="3688C94D">
      <w:pPr>
        <w:pStyle w:val="86"/>
        <w:spacing w:before="156" w:after="156"/>
      </w:pPr>
      <w:bookmarkStart w:id="342" w:name="_Toc176167872"/>
      <w:bookmarkStart w:id="343" w:name="_Toc143596005"/>
      <w:bookmarkStart w:id="344" w:name="_Toc109140529"/>
      <w:bookmarkStart w:id="345" w:name="_Toc184997605"/>
      <w:bookmarkStart w:id="346" w:name="_Toc175831147"/>
      <w:bookmarkStart w:id="347" w:name="_Toc183897554"/>
      <w:bookmarkStart w:id="348" w:name="_Toc183897628"/>
      <w:bookmarkStart w:id="349" w:name="_Toc183898628"/>
      <w:bookmarkStart w:id="350" w:name="_Toc183898313"/>
      <w:bookmarkStart w:id="351" w:name="_Toc183898466"/>
      <w:r>
        <w:t>计算与报告</w:t>
      </w:r>
      <w:bookmarkEnd w:id="342"/>
      <w:bookmarkEnd w:id="343"/>
      <w:bookmarkEnd w:id="344"/>
      <w:bookmarkEnd w:id="345"/>
      <w:bookmarkEnd w:id="346"/>
      <w:bookmarkEnd w:id="347"/>
      <w:bookmarkEnd w:id="348"/>
      <w:bookmarkEnd w:id="349"/>
      <w:bookmarkEnd w:id="350"/>
      <w:bookmarkEnd w:id="351"/>
    </w:p>
    <w:p w14:paraId="389F6272">
      <w:pPr>
        <w:pStyle w:val="64"/>
        <w:ind w:firstLine="420"/>
      </w:pPr>
      <w:r>
        <w:t xml:space="preserve">按JTG </w:t>
      </w:r>
      <w:r>
        <w:rPr>
          <w:rFonts w:hint="eastAsia"/>
        </w:rPr>
        <w:t>3432</w:t>
      </w:r>
      <w:r>
        <w:t>-2024</w:t>
      </w:r>
      <w:r>
        <w:rPr>
          <w:rFonts w:hint="eastAsia"/>
        </w:rPr>
        <w:t>中T</w:t>
      </w:r>
      <w:r>
        <w:t xml:space="preserve"> 0316的相关规定执行。</w:t>
      </w:r>
    </w:p>
    <w:p w14:paraId="5590703A">
      <w:pPr>
        <w:pStyle w:val="64"/>
        <w:ind w:firstLine="420"/>
      </w:pPr>
    </w:p>
    <w:p w14:paraId="212E3F7B">
      <w:pPr>
        <w:pStyle w:val="64"/>
        <w:ind w:firstLine="420"/>
      </w:pPr>
    </w:p>
    <w:p w14:paraId="0646266E">
      <w:pPr>
        <w:pStyle w:val="64"/>
        <w:ind w:firstLine="420"/>
      </w:pPr>
    </w:p>
    <w:p w14:paraId="1924C108">
      <w:pPr>
        <w:pStyle w:val="64"/>
        <w:ind w:firstLine="420"/>
        <w:sectPr>
          <w:pgSz w:w="11906" w:h="16838"/>
          <w:pgMar w:top="1928" w:right="1134" w:bottom="1134" w:left="1134" w:header="1418" w:footer="1134" w:gutter="284"/>
          <w:cols w:space="425" w:num="1"/>
          <w:formProt w:val="0"/>
          <w:docGrid w:type="lines" w:linePitch="312" w:charSpace="0"/>
        </w:sectPr>
      </w:pPr>
    </w:p>
    <w:p w14:paraId="5D548685">
      <w:pPr>
        <w:pStyle w:val="206"/>
      </w:pPr>
    </w:p>
    <w:p w14:paraId="0EB9776F">
      <w:pPr>
        <w:pStyle w:val="207"/>
      </w:pPr>
    </w:p>
    <w:p w14:paraId="7C278C00">
      <w:pPr>
        <w:pStyle w:val="84"/>
        <w:spacing w:after="156"/>
      </w:pPr>
      <w:r>
        <w:br w:type="textWrapping"/>
      </w:r>
      <w:bookmarkStart w:id="352" w:name="_Toc183898589"/>
      <w:bookmarkStart w:id="353" w:name="_Toc183898467"/>
      <w:bookmarkStart w:id="354" w:name="_Toc184997606"/>
      <w:bookmarkStart w:id="355" w:name="_Toc183897555"/>
      <w:bookmarkStart w:id="356" w:name="_Toc183898314"/>
      <w:bookmarkStart w:id="357" w:name="_Toc183897629"/>
      <w:r>
        <w:rPr>
          <w:rFonts w:hint="eastAsia"/>
        </w:rPr>
        <w:t>（规范性）</w:t>
      </w:r>
      <w:r>
        <w:br w:type="textWrapping"/>
      </w:r>
      <w:r>
        <w:rPr>
          <w:rFonts w:hint="eastAsia"/>
        </w:rPr>
        <w:t>丰度系数</w:t>
      </w:r>
      <w:bookmarkEnd w:id="352"/>
      <w:bookmarkEnd w:id="353"/>
      <w:bookmarkEnd w:id="354"/>
      <w:bookmarkEnd w:id="355"/>
      <w:bookmarkEnd w:id="356"/>
      <w:bookmarkEnd w:id="357"/>
    </w:p>
    <w:p w14:paraId="1432E26D">
      <w:pPr>
        <w:widowControl/>
        <w:tabs>
          <w:tab w:val="center" w:pos="4201"/>
          <w:tab w:val="right" w:leader="dot" w:pos="9298"/>
        </w:tabs>
        <w:autoSpaceDE w:val="0"/>
        <w:autoSpaceDN w:val="0"/>
        <w:ind w:firstLine="420" w:firstLineChars="200"/>
        <w:rPr>
          <w:rFonts w:ascii="宋体" w:hAnsi="宋体"/>
          <w:kern w:val="0"/>
          <w:szCs w:val="20"/>
        </w:rPr>
      </w:pPr>
      <w:r>
        <w:rPr>
          <w:rFonts w:hint="eastAsia" w:ascii="宋体" w:hAnsi="宋体"/>
          <w:kern w:val="0"/>
          <w:szCs w:val="20"/>
        </w:rPr>
        <w:t>按公式（</w:t>
      </w:r>
      <w:r>
        <w:rPr>
          <w:rFonts w:ascii="宋体" w:hAnsi="宋体"/>
        </w:rPr>
        <w:t>B.</w:t>
      </w:r>
      <w:r>
        <w:rPr>
          <w:rFonts w:ascii="宋体" w:hAnsi="宋体"/>
        </w:rPr>
        <w:fldChar w:fldCharType="begin"/>
      </w:r>
      <w:r>
        <w:rPr>
          <w:rFonts w:ascii="宋体" w:hAnsi="宋体"/>
        </w:rPr>
        <w:instrText xml:space="preserve"> seq fulu_equation_133774456679414196 </w:instrText>
      </w:r>
      <w:r>
        <w:rPr>
          <w:rFonts w:ascii="宋体" w:hAnsi="宋体"/>
        </w:rPr>
        <w:fldChar w:fldCharType="separate"/>
      </w:r>
      <w:r>
        <w:rPr>
          <w:rFonts w:hint="eastAsia" w:ascii="宋体" w:hAnsi="宋体"/>
        </w:rPr>
        <w:t>1</w:t>
      </w:r>
      <w:r>
        <w:rPr>
          <w:rFonts w:ascii="宋体" w:hAnsi="宋体"/>
        </w:rPr>
        <w:fldChar w:fldCharType="end"/>
      </w:r>
      <w:r>
        <w:rPr>
          <w:rFonts w:hint="eastAsia" w:ascii="宋体" w:hAnsi="宋体"/>
          <w:kern w:val="0"/>
          <w:szCs w:val="20"/>
        </w:rPr>
        <w:t>）</w:t>
      </w:r>
      <w:r>
        <w:rPr>
          <w:rFonts w:ascii="宋体" w:hAnsi="宋体"/>
        </w:rPr>
        <w:t>～</w:t>
      </w:r>
      <w:r>
        <w:rPr>
          <w:rFonts w:hint="eastAsia" w:ascii="宋体" w:hAnsi="宋体"/>
          <w:kern w:val="0"/>
          <w:szCs w:val="20"/>
        </w:rPr>
        <w:t>公式（</w:t>
      </w:r>
      <w:r>
        <w:rPr>
          <w:rFonts w:ascii="宋体" w:hAnsi="宋体"/>
        </w:rPr>
        <w:t>B.</w:t>
      </w:r>
      <w:r>
        <w:rPr>
          <w:rFonts w:ascii="宋体" w:hAnsi="宋体"/>
        </w:rPr>
        <w:fldChar w:fldCharType="begin"/>
      </w:r>
      <w:r>
        <w:rPr>
          <w:rFonts w:ascii="宋体" w:hAnsi="宋体"/>
        </w:rPr>
        <w:instrText xml:space="preserve">  seq fulu_equation_133774456679414196  </w:instrText>
      </w:r>
      <w:r>
        <w:rPr>
          <w:rFonts w:ascii="宋体" w:hAnsi="宋体"/>
        </w:rPr>
        <w:fldChar w:fldCharType="separate"/>
      </w:r>
      <w:r>
        <w:rPr>
          <w:rFonts w:hint="eastAsia" w:ascii="宋体" w:hAnsi="宋体"/>
        </w:rPr>
        <w:t>3</w:t>
      </w:r>
      <w:r>
        <w:rPr>
          <w:rFonts w:ascii="宋体" w:hAnsi="宋体"/>
        </w:rPr>
        <w:fldChar w:fldCharType="end"/>
      </w:r>
      <w:r>
        <w:rPr>
          <w:rFonts w:hint="eastAsia" w:ascii="宋体" w:hAnsi="宋体"/>
          <w:kern w:val="0"/>
          <w:szCs w:val="20"/>
        </w:rPr>
        <w:t>）计算沥青混合料的丰度系数。</w:t>
      </w:r>
    </w:p>
    <w:p w14:paraId="7F251DFA">
      <w:pPr>
        <w:pStyle w:val="121"/>
      </w:pPr>
      <w:r>
        <w:rPr>
          <w:rFonts w:ascii="Times New Roman" w:hAnsi="Times New Roman"/>
        </w:rPr>
        <w:tab/>
      </w:r>
      <m:oMath>
        <m:r>
          <m:rPr/>
          <w:rPr>
            <w:rFonts w:ascii="Cambria Math" w:hAnsi="Cambria Math"/>
            <w:kern w:val="0"/>
            <w:sz w:val="24"/>
          </w:rPr>
          <m:t>K=</m:t>
        </m:r>
        <m:f>
          <m:fPr>
            <m:ctrlPr>
              <w:rPr>
                <w:rFonts w:ascii="Cambria Math" w:hAnsi="Cambria Math"/>
                <w:i/>
                <w:iCs/>
                <w:kern w:val="0"/>
                <w:sz w:val="24"/>
              </w:rPr>
            </m:ctrlPr>
          </m:fPr>
          <m:num>
            <m:r>
              <m:rPr/>
              <w:rPr>
                <w:rFonts w:ascii="Cambria Math" w:hAnsi="Cambria Math"/>
                <w:kern w:val="0"/>
                <w:sz w:val="24"/>
              </w:rPr>
              <m:t>TL</m:t>
            </m:r>
            <m:ctrlPr>
              <w:rPr>
                <w:rFonts w:ascii="Cambria Math" w:hAnsi="Cambria Math"/>
                <w:i/>
                <w:iCs/>
                <w:kern w:val="0"/>
                <w:sz w:val="24"/>
              </w:rPr>
            </m:ctrlPr>
          </m:num>
          <m:den>
            <m:r>
              <m:rPr/>
              <w:rPr>
                <w:rFonts w:ascii="Cambria Math" w:hAnsi="Cambria Math"/>
                <w:kern w:val="0"/>
                <w:sz w:val="24"/>
              </w:rPr>
              <m:t>α</m:t>
            </m:r>
            <m:rad>
              <m:radPr>
                <m:ctrlPr>
                  <w:rPr>
                    <w:rFonts w:ascii="Cambria Math" w:hAnsi="Cambria Math"/>
                    <w:i/>
                    <w:iCs/>
                    <w:kern w:val="0"/>
                    <w:sz w:val="24"/>
                  </w:rPr>
                </m:ctrlPr>
              </m:radPr>
              <m:deg>
                <m:r>
                  <m:rPr/>
                  <w:rPr>
                    <w:rFonts w:ascii="Cambria Math" w:hAnsi="Cambria Math"/>
                    <w:kern w:val="0"/>
                    <w:sz w:val="24"/>
                  </w:rPr>
                  <m:t>5</m:t>
                </m:r>
                <m:ctrlPr>
                  <w:rPr>
                    <w:rFonts w:ascii="Cambria Math" w:hAnsi="Cambria Math"/>
                    <w:i/>
                    <w:iCs/>
                    <w:kern w:val="0"/>
                    <w:sz w:val="24"/>
                  </w:rPr>
                </m:ctrlPr>
              </m:deg>
              <m:e>
                <m:r>
                  <m:rPr/>
                  <w:rPr>
                    <w:rFonts w:ascii="Cambria Math" w:hAnsi="Cambria Math"/>
                    <w:kern w:val="0"/>
                    <w:sz w:val="24"/>
                  </w:rPr>
                  <m:t>∑</m:t>
                </m:r>
                <m:ctrlPr>
                  <w:rPr>
                    <w:rFonts w:ascii="Cambria Math" w:hAnsi="Cambria Math"/>
                    <w:i/>
                    <w:iCs/>
                    <w:kern w:val="0"/>
                    <w:sz w:val="24"/>
                  </w:rPr>
                </m:ctrlPr>
              </m:e>
            </m:rad>
            <m:ctrlPr>
              <w:rPr>
                <w:rFonts w:ascii="Cambria Math" w:hAnsi="Cambria Math"/>
                <w:i/>
                <w:iCs/>
                <w:kern w:val="0"/>
                <w:sz w:val="24"/>
              </w:rPr>
            </m:ctrlPr>
          </m:den>
        </m:f>
      </m:oMath>
      <w:r>
        <w:rPr>
          <w:rFonts w:ascii="Times New Roman" w:hAnsi="Times New Roman"/>
        </w:rPr>
        <w:tab/>
      </w:r>
      <w:r>
        <w:t>(B.</w:t>
      </w:r>
      <w:r>
        <w:fldChar w:fldCharType="begin"/>
      </w:r>
      <w:r>
        <w:instrText xml:space="preserve"> seq fulu_equation_133774456679414196 </w:instrText>
      </w:r>
      <w:r>
        <w:fldChar w:fldCharType="separate"/>
      </w:r>
      <w:r>
        <w:t>1</w:t>
      </w:r>
      <w:r>
        <w:fldChar w:fldCharType="end"/>
      </w:r>
      <w:r>
        <w:t>)</w:t>
      </w:r>
    </w:p>
    <w:p w14:paraId="4DFBEA5E">
      <w:pPr>
        <w:pStyle w:val="121"/>
      </w:pPr>
      <w:r>
        <w:rPr>
          <w:rFonts w:ascii="Times New Roman" w:hAnsi="Times New Roman"/>
        </w:rPr>
        <w:tab/>
      </w:r>
      <m:oMath>
        <m:r>
          <m:rPr/>
          <w:rPr>
            <w:rFonts w:ascii="Cambria Math" w:hAnsi="Cambria Math"/>
            <w:kern w:val="0"/>
          </w:rPr>
          <m:t>α</m:t>
        </m:r>
        <m:r>
          <m:rPr>
            <m:sty m:val="p"/>
          </m:rPr>
          <w:rPr>
            <w:rFonts w:ascii="Cambria Math" w:hAnsi="Cambria Math"/>
          </w:rPr>
          <m:t>= 2.65/Gse</m:t>
        </m:r>
      </m:oMath>
      <w:r>
        <w:rPr>
          <w:rFonts w:ascii="Times New Roman" w:hAnsi="Times New Roman"/>
        </w:rPr>
        <w:tab/>
      </w:r>
      <w:r>
        <w:t>(B.</w:t>
      </w:r>
      <w:r>
        <w:fldChar w:fldCharType="begin"/>
      </w:r>
      <w:r>
        <w:instrText xml:space="preserve">  seq fulu_equation_133774456679414196  </w:instrText>
      </w:r>
      <w:r>
        <w:fldChar w:fldCharType="separate"/>
      </w:r>
      <w:r>
        <w:t>2</w:t>
      </w:r>
      <w:r>
        <w:fldChar w:fldCharType="end"/>
      </w:r>
      <w:r>
        <w:t>)</w:t>
      </w:r>
    </w:p>
    <w:p w14:paraId="545AFD60">
      <w:pPr>
        <w:pStyle w:val="121"/>
        <w:rPr>
          <w:rFonts w:ascii="Times New Roman" w:hAnsi="Times New Roman"/>
        </w:rPr>
      </w:pPr>
      <w:r>
        <w:rPr>
          <w:rFonts w:ascii="Times New Roman" w:hAnsi="Times New Roman"/>
        </w:rPr>
        <w:tab/>
      </w:r>
      <m:oMath>
        <m:r>
          <m:rPr>
            <m:nor/>
            <m:sty m:val="p"/>
          </m:rPr>
          <w:rPr>
            <w:rFonts w:ascii="Times New Roman" w:hAnsi="Times New Roman"/>
            <w:kern w:val="0"/>
          </w:rPr>
          <m:t>100∑=0.25G+2.3S+12s+135f</m:t>
        </m:r>
      </m:oMath>
      <w:r>
        <w:rPr>
          <w:rFonts w:ascii="Times New Roman" w:hAnsi="Times New Roman"/>
        </w:rPr>
        <w:tab/>
      </w:r>
      <w:r>
        <w:t>(B.</w:t>
      </w:r>
      <w:r>
        <w:fldChar w:fldCharType="begin"/>
      </w:r>
      <w:r>
        <w:instrText xml:space="preserve">  seq fulu_equation_133774456679414196  </w:instrText>
      </w:r>
      <w:r>
        <w:fldChar w:fldCharType="separate"/>
      </w:r>
      <w:r>
        <w:t>3</w:t>
      </w:r>
      <w:r>
        <w:fldChar w:fldCharType="end"/>
      </w:r>
      <w:r>
        <w:t>)</w:t>
      </w:r>
    </w:p>
    <w:p w14:paraId="41B734ED">
      <w:pPr>
        <w:pStyle w:val="63"/>
        <w:ind w:firstLine="420"/>
      </w:pPr>
      <w:r>
        <w:rPr>
          <w:rFonts w:hint="eastAsia"/>
        </w:rPr>
        <w:t>式中：</w:t>
      </w:r>
    </w:p>
    <w:p w14:paraId="2C7634E7">
      <w:pPr>
        <w:ind w:firstLine="420" w:firstLineChars="200"/>
        <w:rPr>
          <w:rFonts w:ascii="Cambria Math" w:hAnsi="Cambria Math"/>
          <w:i/>
          <w:kern w:val="0"/>
        </w:rPr>
      </w:pPr>
      <m:oMath>
        <m:r>
          <m:rPr/>
          <w:rPr>
            <w:rFonts w:ascii="Cambria Math" w:hAnsi="Cambria Math"/>
            <w:kern w:val="0"/>
          </w:rPr>
          <m:t>K</m:t>
        </m:r>
      </m:oMath>
      <w:r>
        <w:rPr>
          <w:rFonts w:ascii="Times New Roman" w:hAnsi="Times New Roman"/>
          <w:i/>
          <w:kern w:val="0"/>
        </w:rPr>
        <w:t>——</w:t>
      </w:r>
      <w:r>
        <w:rPr>
          <w:rFonts w:hint="eastAsia" w:ascii="Cambria Math" w:hAnsi="Cambria Math"/>
          <w:iCs/>
          <w:kern w:val="0"/>
        </w:rPr>
        <w:t>丰度系数；</w:t>
      </w:r>
    </w:p>
    <w:p w14:paraId="4DD83C5D">
      <w:pPr>
        <w:ind w:firstLine="420" w:firstLineChars="200"/>
        <w:rPr>
          <w:rFonts w:ascii="宋体" w:hAnsi="宋体"/>
        </w:rPr>
      </w:pPr>
      <m:oMath>
        <m:r>
          <m:rPr/>
          <w:rPr>
            <w:rFonts w:ascii="Cambria Math" w:hAnsi="Cambria Math"/>
            <w:kern w:val="0"/>
          </w:rPr>
          <m:t>TL</m:t>
        </m:r>
      </m:oMath>
      <w:r>
        <w:rPr>
          <w:rFonts w:ascii="Times New Roman" w:hAnsi="Times New Roman"/>
          <w:i/>
          <w:kern w:val="0"/>
        </w:rPr>
        <w:t>——</w:t>
      </w:r>
      <w:r>
        <w:rPr>
          <w:rFonts w:ascii="宋体" w:hAnsi="宋体"/>
        </w:rPr>
        <w:t>油石比</w:t>
      </w:r>
      <w:r>
        <w:rPr>
          <w:rFonts w:hint="eastAsia" w:ascii="宋体" w:hAnsi="宋体"/>
        </w:rPr>
        <w:t>,%；</w:t>
      </w:r>
    </w:p>
    <w:p w14:paraId="7B908955">
      <w:pPr>
        <w:ind w:firstLine="420" w:firstLineChars="200"/>
        <w:rPr>
          <w:rFonts w:ascii="宋体" w:hAnsi="宋体"/>
        </w:rPr>
      </w:pPr>
      <w:r>
        <w:rPr>
          <w:rFonts w:ascii="宋体" w:hAnsi="宋体"/>
        </w:rPr>
        <w:t>Gse</w:t>
      </w:r>
      <w:r>
        <w:rPr>
          <w:rFonts w:ascii="Times New Roman" w:hAnsi="Times New Roman"/>
          <w:i/>
          <w:kern w:val="0"/>
        </w:rPr>
        <w:t>——</w:t>
      </w:r>
      <w:r>
        <w:rPr>
          <w:rFonts w:hint="eastAsia" w:ascii="宋体" w:hAnsi="宋体"/>
          <w:kern w:val="0"/>
        </w:rPr>
        <w:t>集料的有效相对密度，单位为克每立方厘米（</w:t>
      </w:r>
      <m:oMath>
        <m:r>
          <m:rPr>
            <m:sty m:val="p"/>
          </m:rPr>
          <w:rPr>
            <w:rFonts w:ascii="Cambria Math" w:hAnsi="Cambria Math"/>
            <w:kern w:val="0"/>
          </w:rPr>
          <m:t>g/</m:t>
        </m:r>
        <m:sSup>
          <m:sSupPr>
            <m:ctrlPr>
              <w:rPr>
                <w:rFonts w:ascii="Cambria Math" w:hAnsi="Cambria Math"/>
                <w:kern w:val="0"/>
              </w:rPr>
            </m:ctrlPr>
          </m:sSupPr>
          <m:e>
            <m:r>
              <m:rPr>
                <m:sty m:val="p"/>
              </m:rPr>
              <w:rPr>
                <w:rFonts w:ascii="Cambria Math" w:hAnsi="Cambria Math"/>
                <w:kern w:val="0"/>
              </w:rPr>
              <m:t>cm</m:t>
            </m:r>
            <m:ctrlPr>
              <w:rPr>
                <w:rFonts w:ascii="Cambria Math" w:hAnsi="Cambria Math"/>
                <w:kern w:val="0"/>
              </w:rPr>
            </m:ctrlPr>
          </m:e>
          <m:sup>
            <m:r>
              <m:rPr>
                <m:sty m:val="p"/>
              </m:rPr>
              <w:rPr>
                <w:rFonts w:ascii="Cambria Math" w:hAnsi="Cambria Math"/>
                <w:kern w:val="0"/>
              </w:rPr>
              <m:t>3</m:t>
            </m:r>
            <m:ctrlPr>
              <w:rPr>
                <w:rFonts w:ascii="Cambria Math" w:hAnsi="Cambria Math"/>
                <w:kern w:val="0"/>
              </w:rPr>
            </m:ctrlPr>
          </m:sup>
        </m:sSup>
      </m:oMath>
      <w:r>
        <w:rPr>
          <w:rFonts w:hint="eastAsia" w:ascii="宋体" w:hAnsi="宋体"/>
          <w:kern w:val="0"/>
        </w:rPr>
        <w:t>）；</w:t>
      </w:r>
    </w:p>
    <w:p w14:paraId="72F18201">
      <w:pPr>
        <w:ind w:firstLine="420" w:firstLineChars="200"/>
        <w:rPr>
          <w:rFonts w:ascii="宋体" w:hAnsi="宋体"/>
        </w:rPr>
      </w:pPr>
      <w:r>
        <w:rPr>
          <w:rFonts w:ascii="宋体" w:hAnsi="宋体"/>
        </w:rPr>
        <w:t>G</w:t>
      </w:r>
      <w:r>
        <w:rPr>
          <w:rFonts w:ascii="Times New Roman" w:hAnsi="Times New Roman"/>
          <w:i/>
          <w:kern w:val="0"/>
        </w:rPr>
        <w:t>——</w:t>
      </w:r>
      <w:r>
        <w:rPr>
          <w:rFonts w:ascii="宋体" w:hAnsi="宋体"/>
        </w:rPr>
        <w:t>粒径大于4.75</w:t>
      </w:r>
      <w:r>
        <w:rPr>
          <w:rFonts w:hint="eastAsia" w:ascii="宋体" w:hAnsi="宋体"/>
        </w:rPr>
        <w:t xml:space="preserve"> </w:t>
      </w:r>
      <w:r>
        <w:rPr>
          <w:rFonts w:ascii="宋体" w:hAnsi="宋体"/>
        </w:rPr>
        <w:t>mm的筛孔通过率</w:t>
      </w:r>
      <w:bookmarkStart w:id="358" w:name="OLE_LINK4"/>
      <w:r>
        <w:rPr>
          <w:rFonts w:hint="eastAsia" w:ascii="宋体" w:hAnsi="宋体"/>
        </w:rPr>
        <w:t>,</w:t>
      </w:r>
      <w:bookmarkEnd w:id="358"/>
      <w:r>
        <w:rPr>
          <w:rFonts w:hint="eastAsia" w:ascii="宋体" w:hAnsi="宋体"/>
        </w:rPr>
        <w:t>%；</w:t>
      </w:r>
    </w:p>
    <w:p w14:paraId="36155195">
      <w:pPr>
        <w:ind w:firstLine="420" w:firstLineChars="200"/>
        <w:rPr>
          <w:rFonts w:ascii="宋体" w:hAnsi="宋体"/>
        </w:rPr>
      </w:pPr>
      <w:r>
        <w:rPr>
          <w:rFonts w:ascii="宋体" w:hAnsi="宋体"/>
        </w:rPr>
        <w:t>S</w:t>
      </w:r>
      <w:r>
        <w:rPr>
          <w:rFonts w:ascii="Times New Roman" w:hAnsi="Times New Roman"/>
          <w:i/>
          <w:kern w:val="0"/>
        </w:rPr>
        <w:t>——</w:t>
      </w:r>
      <w:r>
        <w:rPr>
          <w:rFonts w:ascii="宋体" w:hAnsi="宋体"/>
        </w:rPr>
        <w:t>粒径在0.3</w:t>
      </w:r>
      <w:r>
        <w:rPr>
          <w:rFonts w:hint="eastAsia" w:ascii="宋体" w:hAnsi="宋体"/>
        </w:rPr>
        <w:t xml:space="preserve"> </w:t>
      </w:r>
      <w:r>
        <w:rPr>
          <w:rFonts w:ascii="宋体" w:hAnsi="宋体"/>
        </w:rPr>
        <w:t>mm～4.75</w:t>
      </w:r>
      <w:r>
        <w:rPr>
          <w:rFonts w:hint="eastAsia" w:ascii="宋体" w:hAnsi="宋体"/>
        </w:rPr>
        <w:t xml:space="preserve"> </w:t>
      </w:r>
      <w:r>
        <w:rPr>
          <w:rFonts w:ascii="宋体" w:hAnsi="宋体"/>
        </w:rPr>
        <w:t>mm之间的筛孔通过率</w:t>
      </w:r>
      <w:r>
        <w:rPr>
          <w:rFonts w:hint="eastAsia" w:ascii="宋体" w:hAnsi="宋体"/>
        </w:rPr>
        <w:t>,%；</w:t>
      </w:r>
    </w:p>
    <w:p w14:paraId="6AE78649">
      <w:pPr>
        <w:ind w:firstLine="420" w:firstLineChars="200"/>
        <w:rPr>
          <w:rFonts w:ascii="宋体" w:hAnsi="宋体"/>
        </w:rPr>
      </w:pPr>
      <w:r>
        <w:rPr>
          <w:rFonts w:hint="eastAsia" w:ascii="宋体" w:hAnsi="宋体"/>
        </w:rPr>
        <w:t>s</w:t>
      </w:r>
      <w:r>
        <w:rPr>
          <w:rFonts w:ascii="Times New Roman" w:hAnsi="Times New Roman"/>
          <w:i/>
          <w:kern w:val="0"/>
        </w:rPr>
        <w:t>——</w:t>
      </w:r>
      <w:r>
        <w:rPr>
          <w:rFonts w:ascii="宋体" w:hAnsi="宋体"/>
        </w:rPr>
        <w:t>粒径在0.075</w:t>
      </w:r>
      <w:r>
        <w:rPr>
          <w:rFonts w:hint="eastAsia" w:ascii="宋体" w:hAnsi="宋体"/>
        </w:rPr>
        <w:t xml:space="preserve"> </w:t>
      </w:r>
      <w:r>
        <w:rPr>
          <w:rFonts w:ascii="宋体" w:hAnsi="宋体"/>
        </w:rPr>
        <w:t>mm～0.3</w:t>
      </w:r>
      <w:r>
        <w:rPr>
          <w:rFonts w:hint="eastAsia" w:ascii="宋体" w:hAnsi="宋体"/>
        </w:rPr>
        <w:t xml:space="preserve"> </w:t>
      </w:r>
      <w:r>
        <w:rPr>
          <w:rFonts w:ascii="宋体" w:hAnsi="宋体"/>
        </w:rPr>
        <w:t>mm之间的筛孔通过率</w:t>
      </w:r>
      <w:r>
        <w:rPr>
          <w:rFonts w:hint="eastAsia" w:ascii="宋体" w:hAnsi="宋体"/>
        </w:rPr>
        <w:t>,%；</w:t>
      </w:r>
    </w:p>
    <w:p w14:paraId="4F179175">
      <w:pPr>
        <w:ind w:firstLine="420" w:firstLineChars="200"/>
        <w:rPr>
          <w:rFonts w:ascii="宋体" w:hAnsi="宋体"/>
        </w:rPr>
      </w:pPr>
      <w:r>
        <w:rPr>
          <w:rFonts w:ascii="宋体" w:hAnsi="宋体"/>
        </w:rPr>
        <w:t>f</w:t>
      </w:r>
      <w:r>
        <w:rPr>
          <w:rFonts w:ascii="Times New Roman" w:hAnsi="Times New Roman"/>
          <w:i/>
          <w:kern w:val="0"/>
        </w:rPr>
        <w:t>——</w:t>
      </w:r>
      <w:r>
        <w:rPr>
          <w:rFonts w:ascii="宋体" w:hAnsi="宋体"/>
        </w:rPr>
        <w:t>粒径小于0.075</w:t>
      </w:r>
      <w:r>
        <w:rPr>
          <w:rFonts w:hint="eastAsia" w:ascii="宋体" w:hAnsi="宋体"/>
        </w:rPr>
        <w:t xml:space="preserve"> </w:t>
      </w:r>
      <w:r>
        <w:rPr>
          <w:rFonts w:ascii="宋体" w:hAnsi="宋体"/>
        </w:rPr>
        <w:t>mm的筛孔通过率</w:t>
      </w:r>
      <w:r>
        <w:rPr>
          <w:rFonts w:hint="eastAsia" w:ascii="宋体" w:hAnsi="宋体"/>
        </w:rPr>
        <w:t>,%。</w:t>
      </w:r>
    </w:p>
    <w:p w14:paraId="563427EB">
      <w:pPr>
        <w:widowControl/>
        <w:adjustRightInd/>
        <w:spacing w:line="240" w:lineRule="auto"/>
        <w:ind w:firstLine="420" w:firstLineChars="200"/>
        <w:jc w:val="left"/>
        <w:rPr>
          <w:rFonts w:ascii="宋体" w:hAnsi="宋体"/>
        </w:rPr>
      </w:pPr>
      <w:r>
        <w:rPr>
          <w:rFonts w:hint="eastAsia" w:ascii="宋体" w:hAnsi="宋体"/>
        </w:rPr>
        <w:br w:type="page"/>
      </w:r>
    </w:p>
    <w:p w14:paraId="29EC4A39">
      <w:pPr>
        <w:pStyle w:val="206"/>
      </w:pPr>
    </w:p>
    <w:p w14:paraId="68E83D1A">
      <w:pPr>
        <w:pStyle w:val="207"/>
      </w:pPr>
    </w:p>
    <w:p w14:paraId="307D0AD4">
      <w:pPr>
        <w:pStyle w:val="84"/>
        <w:spacing w:after="156"/>
      </w:pPr>
      <w:r>
        <w:br w:type="textWrapping"/>
      </w:r>
      <w:bookmarkStart w:id="359" w:name="_Toc183898590"/>
      <w:bookmarkStart w:id="360" w:name="_Toc183897556"/>
      <w:bookmarkStart w:id="361" w:name="_Toc183897630"/>
      <w:bookmarkStart w:id="362" w:name="_Toc183898315"/>
      <w:bookmarkStart w:id="363" w:name="_Toc183898468"/>
      <w:bookmarkStart w:id="364" w:name="_Toc184997607"/>
      <w:r>
        <w:rPr>
          <w:rFonts w:hint="eastAsia"/>
        </w:rPr>
        <w:t>（规范性）</w:t>
      </w:r>
      <w:r>
        <w:br w:type="textWrapping"/>
      </w:r>
      <w:r>
        <w:rPr>
          <w:rFonts w:hint="eastAsia"/>
        </w:rPr>
        <w:t>沥青混合料抗裂性能测定方法（OT试验）</w:t>
      </w:r>
      <w:bookmarkEnd w:id="359"/>
      <w:bookmarkEnd w:id="360"/>
      <w:bookmarkEnd w:id="361"/>
      <w:bookmarkEnd w:id="362"/>
      <w:bookmarkEnd w:id="363"/>
      <w:bookmarkEnd w:id="364"/>
    </w:p>
    <w:p w14:paraId="48152E92">
      <w:pPr>
        <w:pStyle w:val="86"/>
        <w:spacing w:before="156" w:after="156"/>
      </w:pPr>
      <w:bookmarkStart w:id="365" w:name="_Toc184997608"/>
      <w:bookmarkStart w:id="366" w:name="_Toc109140531"/>
      <w:bookmarkStart w:id="367" w:name="_Toc183897557"/>
      <w:bookmarkStart w:id="368" w:name="_Toc175831151"/>
      <w:bookmarkStart w:id="369" w:name="_Toc176167875"/>
      <w:bookmarkStart w:id="370" w:name="_Toc183898316"/>
      <w:bookmarkStart w:id="371" w:name="_Toc183898469"/>
      <w:bookmarkStart w:id="372" w:name="_Toc183897631"/>
      <w:bookmarkStart w:id="373" w:name="_Toc183898631"/>
      <w:bookmarkStart w:id="374" w:name="_Toc143596007"/>
      <w:r>
        <w:t>仪具与材料</w:t>
      </w:r>
      <w:bookmarkEnd w:id="365"/>
      <w:bookmarkEnd w:id="366"/>
      <w:bookmarkEnd w:id="367"/>
      <w:bookmarkEnd w:id="368"/>
      <w:bookmarkEnd w:id="369"/>
      <w:bookmarkEnd w:id="370"/>
      <w:bookmarkEnd w:id="371"/>
      <w:bookmarkEnd w:id="372"/>
      <w:bookmarkEnd w:id="373"/>
      <w:bookmarkEnd w:id="374"/>
    </w:p>
    <w:p w14:paraId="6FA882C9">
      <w:pPr>
        <w:pStyle w:val="87"/>
        <w:spacing w:before="156" w:after="156"/>
        <w:rPr>
          <w:rFonts w:ascii="宋体" w:hAnsi="宋体" w:eastAsia="宋体"/>
        </w:rPr>
      </w:pPr>
      <w:bookmarkStart w:id="375" w:name="_Toc183897558"/>
      <w:r>
        <w:rPr>
          <w:rFonts w:hint="eastAsia" w:ascii="宋体" w:hAnsi="宋体" w:eastAsia="宋体"/>
        </w:rPr>
        <w:t>罩面测试</w:t>
      </w:r>
      <w:r>
        <w:rPr>
          <w:rFonts w:ascii="宋体" w:hAnsi="宋体" w:eastAsia="宋体"/>
        </w:rPr>
        <w:t>系统</w:t>
      </w:r>
      <w:r>
        <w:rPr>
          <w:rFonts w:hint="eastAsia" w:ascii="宋体" w:hAnsi="宋体" w:eastAsia="宋体"/>
        </w:rPr>
        <w:t>（</w:t>
      </w:r>
      <w:r>
        <w:rPr>
          <w:rFonts w:ascii="宋体" w:hAnsi="宋体" w:eastAsia="宋体"/>
        </w:rPr>
        <w:t>Overlay Test</w:t>
      </w:r>
      <w:r>
        <w:rPr>
          <w:rFonts w:hint="eastAsia" w:ascii="宋体" w:hAnsi="宋体" w:eastAsia="宋体"/>
        </w:rPr>
        <w:t>）由以下部分组成，</w:t>
      </w:r>
      <w:r>
        <w:rPr>
          <w:rFonts w:ascii="宋体" w:hAnsi="宋体" w:eastAsia="宋体"/>
        </w:rPr>
        <w:t>如图C.1所示</w:t>
      </w:r>
      <w:r>
        <w:rPr>
          <w:rFonts w:hint="eastAsia" w:ascii="宋体" w:hAnsi="宋体" w:eastAsia="宋体"/>
        </w:rPr>
        <w:t>：</w:t>
      </w:r>
      <w:bookmarkEnd w:id="375"/>
    </w:p>
    <w:p w14:paraId="2EAE3A81">
      <w:pPr>
        <w:pStyle w:val="182"/>
        <w:numPr>
          <w:ilvl w:val="0"/>
          <w:numId w:val="33"/>
        </w:numPr>
      </w:pPr>
      <w:r>
        <w:t>电动液压系统</w:t>
      </w:r>
      <w:r>
        <w:rPr>
          <w:rFonts w:hint="eastAsia"/>
        </w:rPr>
        <w:t>：</w:t>
      </w:r>
      <w:r>
        <w:t>电动液压系统可对试件施加周期性的直接拉伸荷载，以0.1秒的间隔自动采集荷载、位移和温度</w:t>
      </w:r>
      <w:r>
        <w:rPr>
          <w:rFonts w:hint="eastAsia"/>
        </w:rPr>
        <w:t>；</w:t>
      </w:r>
    </w:p>
    <w:p w14:paraId="6D07267A">
      <w:pPr>
        <w:pStyle w:val="182"/>
      </w:pPr>
      <w:r>
        <w:t>模块</w:t>
      </w:r>
      <w:r>
        <w:rPr>
          <w:rFonts w:hint="eastAsia"/>
        </w:rPr>
        <w:t>：设备</w:t>
      </w:r>
      <w:r>
        <w:t>由两部分模块构成：一个为固定模块；另一个为可在水平方向上平移动的模块。在一个加载周期内，可移动模块在试件上施加一个三角波形应变控制的拉应力，恒定的最大位移为0.6</w:t>
      </w:r>
      <w:r>
        <w:rPr>
          <w:rFonts w:hint="eastAsia"/>
        </w:rPr>
        <w:t xml:space="preserve"> m</w:t>
      </w:r>
      <w:r>
        <w:t>m。在可移动模块达到最大位移后，10秒内恢复到初始位置</w:t>
      </w:r>
      <w:r>
        <w:rPr>
          <w:rFonts w:hint="eastAsia"/>
        </w:rPr>
        <w:t>；</w:t>
      </w:r>
    </w:p>
    <w:p w14:paraId="465BF854">
      <w:pPr>
        <w:pStyle w:val="182"/>
      </w:pPr>
      <w:r>
        <w:t>位移传感器</w:t>
      </w:r>
      <w:r>
        <w:rPr>
          <w:rFonts w:hint="eastAsia"/>
        </w:rPr>
        <w:t>：</w:t>
      </w:r>
      <w:r>
        <w:t>用于测量模块位移的线性可变差动传感器</w:t>
      </w:r>
      <w:r>
        <w:rPr>
          <w:rFonts w:hint="eastAsia"/>
        </w:rPr>
        <w:t>（</w:t>
      </w:r>
      <w:r>
        <w:t>LVDT</w:t>
      </w:r>
      <w:r>
        <w:rPr>
          <w:rFonts w:hint="eastAsia"/>
        </w:rPr>
        <w:t>）；</w:t>
      </w:r>
    </w:p>
    <w:p w14:paraId="51527878">
      <w:pPr>
        <w:pStyle w:val="182"/>
      </w:pPr>
      <w:r>
        <w:t>测力传感器</w:t>
      </w:r>
      <w:r>
        <w:rPr>
          <w:rFonts w:hint="eastAsia"/>
        </w:rPr>
        <w:t>：</w:t>
      </w:r>
      <w:r>
        <w:t>测量位移产生荷载的测力传感器</w:t>
      </w:r>
      <w:r>
        <w:rPr>
          <w:rFonts w:hint="eastAsia"/>
        </w:rPr>
        <w:t>；</w:t>
      </w:r>
    </w:p>
    <w:p w14:paraId="63E47825">
      <w:pPr>
        <w:pStyle w:val="182"/>
      </w:pPr>
      <w:r>
        <w:t>底板</w:t>
      </w:r>
      <w:r>
        <w:rPr>
          <w:rFonts w:hint="eastAsia"/>
        </w:rPr>
        <w:t>：</w:t>
      </w:r>
      <w:r>
        <w:t>铝质或钢质底板，用于限制测量过程中的样品偏移</w:t>
      </w:r>
      <w:r>
        <w:rPr>
          <w:rFonts w:hint="eastAsia"/>
        </w:rPr>
        <w:t>；</w:t>
      </w:r>
    </w:p>
    <w:p w14:paraId="4EE21A80">
      <w:pPr>
        <w:pStyle w:val="182"/>
      </w:pPr>
      <w:r>
        <w:t>安装夹具</w:t>
      </w:r>
      <w:r>
        <w:rPr>
          <w:rFonts w:hint="eastAsia"/>
        </w:rPr>
        <w:t>：</w:t>
      </w:r>
      <w:r>
        <w:t>安装夹具用于在制备试件时对准两个基板及4.2</w:t>
      </w:r>
      <w:r>
        <w:rPr>
          <w:rFonts w:hint="eastAsia"/>
        </w:rPr>
        <w:t xml:space="preserve"> </w:t>
      </w:r>
      <w:r>
        <w:t>mm厚的间隔条。</w:t>
      </w:r>
    </w:p>
    <w:p w14:paraId="531F9264">
      <w:pPr>
        <w:widowControl/>
        <w:spacing w:line="240" w:lineRule="auto"/>
        <w:jc w:val="left"/>
        <w:rPr>
          <w:kern w:val="0"/>
        </w:rPr>
      </w:pPr>
      <w:r>
        <w:rPr>
          <w:rFonts w:hint="eastAsia"/>
          <w:kern w:val="0"/>
        </w:rPr>
        <w:drawing>
          <wp:inline distT="0" distB="0" distL="114300" distR="114300">
            <wp:extent cx="5937250" cy="2214880"/>
            <wp:effectExtent l="0" t="0" r="6350" b="7620"/>
            <wp:docPr id="1" name="图片 1" descr="截图_2025011411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截图_20250114112155"/>
                    <pic:cNvPicPr>
                      <a:picLocks noChangeAspect="1"/>
                    </pic:cNvPicPr>
                  </pic:nvPicPr>
                  <pic:blipFill>
                    <a:blip r:embed="rId16"/>
                    <a:stretch>
                      <a:fillRect/>
                    </a:stretch>
                  </pic:blipFill>
                  <pic:spPr>
                    <a:xfrm>
                      <a:off x="0" y="0"/>
                      <a:ext cx="5937250" cy="2214880"/>
                    </a:xfrm>
                    <a:prstGeom prst="rect">
                      <a:avLst/>
                    </a:prstGeom>
                  </pic:spPr>
                </pic:pic>
              </a:graphicData>
            </a:graphic>
          </wp:inline>
        </w:drawing>
      </w:r>
    </w:p>
    <w:p w14:paraId="4000392D">
      <w:pPr>
        <w:widowControl/>
        <w:spacing w:line="240" w:lineRule="auto"/>
        <w:jc w:val="left"/>
        <w:rPr>
          <w:rFonts w:ascii="宋体" w:hAnsi="宋体"/>
          <w:kern w:val="0"/>
          <w:sz w:val="18"/>
          <w:szCs w:val="18"/>
        </w:rPr>
      </w:pPr>
      <w:r>
        <w:rPr>
          <w:rFonts w:hint="eastAsia" w:ascii="宋体" w:hAnsi="宋体"/>
          <w:kern w:val="0"/>
          <w:sz w:val="18"/>
          <w:szCs w:val="18"/>
        </w:rPr>
        <w:t>标引序号说明：</w:t>
      </w:r>
    </w:p>
    <w:p w14:paraId="7D3FE3C3">
      <w:pPr>
        <w:widowControl/>
        <w:spacing w:line="240" w:lineRule="auto"/>
        <w:jc w:val="left"/>
        <w:rPr>
          <w:rFonts w:ascii="宋体" w:hAnsi="宋体"/>
          <w:kern w:val="0"/>
          <w:sz w:val="18"/>
          <w:szCs w:val="18"/>
        </w:rPr>
      </w:pPr>
      <w:r>
        <w:rPr>
          <w:rFonts w:hint="eastAsia" w:ascii="宋体" w:hAnsi="宋体"/>
          <w:kern w:val="0"/>
          <w:sz w:val="18"/>
          <w:szCs w:val="18"/>
        </w:rPr>
        <w:t>1</w:t>
      </w:r>
      <w:r>
        <w:rPr>
          <w:rFonts w:ascii="Times New Roman" w:hAnsi="Times New Roman"/>
          <w:kern w:val="0"/>
          <w:sz w:val="18"/>
          <w:szCs w:val="18"/>
        </w:rPr>
        <w:t>——</w:t>
      </w:r>
      <w:r>
        <w:rPr>
          <w:rFonts w:hint="eastAsia" w:ascii="Times New Roman" w:hAnsi="Times New Roman"/>
          <w:kern w:val="0"/>
          <w:sz w:val="18"/>
          <w:szCs w:val="18"/>
        </w:rPr>
        <w:t>试件粘贴用</w:t>
      </w:r>
      <w:r>
        <w:rPr>
          <w:rFonts w:hint="eastAsia" w:ascii="宋体" w:hAnsi="宋体"/>
          <w:kern w:val="0"/>
          <w:sz w:val="18"/>
          <w:szCs w:val="18"/>
        </w:rPr>
        <w:t>铝合金板（固定端）；</w:t>
      </w:r>
    </w:p>
    <w:p w14:paraId="17119D17">
      <w:pPr>
        <w:widowControl/>
        <w:spacing w:line="240" w:lineRule="auto"/>
        <w:jc w:val="left"/>
        <w:rPr>
          <w:rFonts w:ascii="宋体" w:hAnsi="宋体"/>
          <w:kern w:val="0"/>
          <w:sz w:val="18"/>
          <w:szCs w:val="18"/>
        </w:rPr>
      </w:pPr>
      <w:r>
        <w:rPr>
          <w:rFonts w:hint="eastAsia" w:ascii="宋体" w:hAnsi="宋体"/>
          <w:kern w:val="0"/>
          <w:sz w:val="18"/>
          <w:szCs w:val="18"/>
        </w:rPr>
        <w:t>2</w:t>
      </w:r>
      <w:r>
        <w:rPr>
          <w:rFonts w:ascii="Times New Roman" w:hAnsi="Times New Roman"/>
          <w:kern w:val="0"/>
          <w:sz w:val="18"/>
          <w:szCs w:val="18"/>
        </w:rPr>
        <w:t>——</w:t>
      </w:r>
      <w:r>
        <w:rPr>
          <w:rFonts w:hint="eastAsia" w:ascii="Times New Roman" w:hAnsi="Times New Roman"/>
          <w:kern w:val="0"/>
          <w:sz w:val="18"/>
          <w:szCs w:val="18"/>
        </w:rPr>
        <w:t>沥青混合料试件；</w:t>
      </w:r>
    </w:p>
    <w:p w14:paraId="19C4288A">
      <w:pPr>
        <w:widowControl/>
        <w:spacing w:line="240" w:lineRule="auto"/>
        <w:jc w:val="left"/>
        <w:rPr>
          <w:rFonts w:ascii="宋体" w:hAnsi="宋体"/>
          <w:kern w:val="0"/>
          <w:sz w:val="18"/>
          <w:szCs w:val="18"/>
        </w:rPr>
      </w:pPr>
      <w:r>
        <w:rPr>
          <w:rFonts w:hint="eastAsia" w:ascii="宋体" w:hAnsi="宋体"/>
          <w:kern w:val="0"/>
          <w:sz w:val="18"/>
          <w:szCs w:val="18"/>
        </w:rPr>
        <w:t>3</w:t>
      </w:r>
      <w:r>
        <w:rPr>
          <w:rFonts w:ascii="Times New Roman" w:hAnsi="Times New Roman"/>
          <w:kern w:val="0"/>
          <w:sz w:val="18"/>
          <w:szCs w:val="18"/>
        </w:rPr>
        <w:t>——</w:t>
      </w:r>
      <w:r>
        <w:rPr>
          <w:rFonts w:hint="eastAsia" w:ascii="Times New Roman" w:hAnsi="Times New Roman"/>
          <w:kern w:val="0"/>
          <w:sz w:val="18"/>
          <w:szCs w:val="18"/>
        </w:rPr>
        <w:t>试件粘贴用</w:t>
      </w:r>
      <w:r>
        <w:rPr>
          <w:rFonts w:hint="eastAsia" w:ascii="宋体" w:hAnsi="宋体"/>
          <w:kern w:val="0"/>
          <w:sz w:val="18"/>
          <w:szCs w:val="18"/>
        </w:rPr>
        <w:t>铝合金板（移动端）；</w:t>
      </w:r>
    </w:p>
    <w:p w14:paraId="1553FDEB">
      <w:pPr>
        <w:widowControl/>
        <w:spacing w:line="240" w:lineRule="auto"/>
        <w:jc w:val="left"/>
        <w:rPr>
          <w:rFonts w:ascii="宋体" w:hAnsi="宋体"/>
          <w:kern w:val="0"/>
          <w:sz w:val="18"/>
          <w:szCs w:val="18"/>
        </w:rPr>
      </w:pPr>
      <w:r>
        <w:rPr>
          <w:rFonts w:hint="eastAsia" w:ascii="宋体" w:hAnsi="宋体"/>
          <w:kern w:val="0"/>
          <w:sz w:val="18"/>
          <w:szCs w:val="18"/>
        </w:rPr>
        <w:t>4</w:t>
      </w:r>
      <w:r>
        <w:rPr>
          <w:rFonts w:ascii="Times New Roman" w:hAnsi="Times New Roman"/>
          <w:kern w:val="0"/>
          <w:sz w:val="18"/>
          <w:szCs w:val="18"/>
        </w:rPr>
        <w:t>——</w:t>
      </w:r>
      <w:r>
        <w:rPr>
          <w:rFonts w:hint="eastAsia" w:ascii="宋体" w:hAnsi="宋体"/>
          <w:kern w:val="0"/>
          <w:sz w:val="18"/>
          <w:szCs w:val="18"/>
        </w:rPr>
        <w:t>固定端底座；</w:t>
      </w:r>
    </w:p>
    <w:p w14:paraId="5240D44C">
      <w:pPr>
        <w:widowControl/>
        <w:spacing w:line="240" w:lineRule="auto"/>
        <w:jc w:val="left"/>
        <w:rPr>
          <w:rFonts w:ascii="宋体" w:hAnsi="宋体"/>
          <w:kern w:val="0"/>
          <w:sz w:val="18"/>
          <w:szCs w:val="18"/>
        </w:rPr>
      </w:pPr>
      <w:r>
        <w:rPr>
          <w:rFonts w:hint="eastAsia" w:ascii="宋体" w:hAnsi="宋体"/>
          <w:kern w:val="0"/>
          <w:sz w:val="18"/>
          <w:szCs w:val="18"/>
        </w:rPr>
        <w:t>5</w:t>
      </w:r>
      <w:r>
        <w:rPr>
          <w:rFonts w:ascii="Times New Roman" w:hAnsi="Times New Roman"/>
          <w:kern w:val="0"/>
          <w:sz w:val="18"/>
          <w:szCs w:val="18"/>
        </w:rPr>
        <w:t>——</w:t>
      </w:r>
      <w:r>
        <w:rPr>
          <w:rFonts w:hint="eastAsia" w:ascii="宋体" w:hAnsi="宋体"/>
          <w:kern w:val="0"/>
          <w:sz w:val="18"/>
          <w:szCs w:val="18"/>
        </w:rPr>
        <w:t>支座间隙（模拟旧路或基层裂缝）；</w:t>
      </w:r>
    </w:p>
    <w:p w14:paraId="1C1D3CBB">
      <w:pPr>
        <w:widowControl/>
        <w:spacing w:line="240" w:lineRule="auto"/>
        <w:jc w:val="left"/>
        <w:rPr>
          <w:rFonts w:ascii="宋体" w:hAnsi="宋体"/>
          <w:kern w:val="0"/>
          <w:sz w:val="18"/>
          <w:szCs w:val="18"/>
        </w:rPr>
      </w:pPr>
      <w:r>
        <w:rPr>
          <w:rFonts w:hint="eastAsia" w:ascii="宋体" w:hAnsi="宋体"/>
          <w:kern w:val="0"/>
          <w:sz w:val="18"/>
          <w:szCs w:val="18"/>
        </w:rPr>
        <w:t>6</w:t>
      </w:r>
      <w:r>
        <w:rPr>
          <w:rFonts w:ascii="Times New Roman" w:hAnsi="Times New Roman"/>
          <w:kern w:val="0"/>
          <w:sz w:val="18"/>
          <w:szCs w:val="18"/>
        </w:rPr>
        <w:t>——</w:t>
      </w:r>
      <w:r>
        <w:rPr>
          <w:rFonts w:hint="eastAsia" w:ascii="宋体" w:hAnsi="宋体"/>
          <w:kern w:val="0"/>
          <w:sz w:val="18"/>
          <w:szCs w:val="18"/>
        </w:rPr>
        <w:t>移动端底座。</w:t>
      </w:r>
    </w:p>
    <w:p w14:paraId="28AF9299">
      <w:pPr>
        <w:pStyle w:val="91"/>
        <w:spacing w:before="156" w:after="156"/>
      </w:pPr>
      <w:r>
        <w:rPr>
          <w:rFonts w:hint="eastAsia"/>
        </w:rPr>
        <w:t>罩面测试</w:t>
      </w:r>
      <w:r>
        <w:t>系统</w:t>
      </w:r>
    </w:p>
    <w:p w14:paraId="7297C80D">
      <w:pPr>
        <w:pStyle w:val="87"/>
        <w:spacing w:before="156" w:after="156"/>
        <w:rPr>
          <w:rFonts w:ascii="宋体" w:hAnsi="宋体" w:eastAsia="宋体"/>
        </w:rPr>
      </w:pPr>
      <w:bookmarkStart w:id="376" w:name="_Toc183897559"/>
      <w:r>
        <w:rPr>
          <w:rFonts w:ascii="宋体" w:hAnsi="宋体" w:eastAsia="宋体"/>
        </w:rPr>
        <w:t>烘箱</w:t>
      </w:r>
      <w:r>
        <w:rPr>
          <w:rFonts w:hint="eastAsia" w:ascii="宋体" w:hAnsi="宋体" w:eastAsia="宋体"/>
        </w:rPr>
        <w:t>：能保持恒温</w:t>
      </w:r>
      <w:r>
        <w:rPr>
          <w:rFonts w:ascii="宋体" w:hAnsi="宋体" w:eastAsia="宋体"/>
        </w:rPr>
        <w:t>25℃±0.5℃</w:t>
      </w:r>
      <w:r>
        <w:rPr>
          <w:rFonts w:hint="eastAsia" w:ascii="宋体" w:hAnsi="宋体" w:eastAsia="宋体"/>
        </w:rPr>
        <w:t>。</w:t>
      </w:r>
      <w:bookmarkEnd w:id="376"/>
    </w:p>
    <w:p w14:paraId="43E29E12">
      <w:pPr>
        <w:pStyle w:val="87"/>
        <w:spacing w:before="156" w:after="156"/>
        <w:rPr>
          <w:rFonts w:ascii="宋体" w:hAnsi="宋体" w:eastAsia="宋体"/>
        </w:rPr>
      </w:pPr>
      <w:bookmarkStart w:id="377" w:name="_Toc183897561"/>
      <w:r>
        <w:rPr>
          <w:rFonts w:ascii="宋体" w:hAnsi="宋体" w:eastAsia="宋体"/>
        </w:rPr>
        <w:t>砝码</w:t>
      </w:r>
      <w:r>
        <w:rPr>
          <w:rFonts w:hint="eastAsia" w:ascii="宋体" w:hAnsi="宋体" w:eastAsia="宋体"/>
        </w:rPr>
        <w:t>：</w:t>
      </w:r>
      <w:r>
        <w:rPr>
          <w:rFonts w:ascii="宋体" w:hAnsi="宋体" w:eastAsia="宋体"/>
        </w:rPr>
        <w:t>每个试件顶部</w:t>
      </w:r>
      <w:r>
        <w:rPr>
          <w:rFonts w:hint="eastAsia" w:ascii="宋体" w:hAnsi="宋体" w:eastAsia="宋体"/>
        </w:rPr>
        <w:t>应在重心位置放置</w:t>
      </w:r>
      <w:r>
        <w:rPr>
          <w:rFonts w:ascii="宋体" w:hAnsi="宋体" w:eastAsia="宋体"/>
        </w:rPr>
        <w:t>质量为2.25</w:t>
      </w:r>
      <w:r>
        <w:rPr>
          <w:rFonts w:hint="eastAsia" w:ascii="宋体" w:hAnsi="宋体" w:eastAsia="宋体"/>
        </w:rPr>
        <w:t xml:space="preserve"> </w:t>
      </w:r>
      <w:r>
        <w:rPr>
          <w:rFonts w:ascii="宋体" w:hAnsi="宋体" w:eastAsia="宋体"/>
        </w:rPr>
        <w:t>kg砝码</w:t>
      </w:r>
      <w:r>
        <w:rPr>
          <w:rFonts w:hint="eastAsia" w:ascii="宋体" w:hAnsi="宋体" w:eastAsia="宋体"/>
        </w:rPr>
        <w:t>。</w:t>
      </w:r>
      <w:bookmarkEnd w:id="377"/>
    </w:p>
    <w:p w14:paraId="67D70269">
      <w:pPr>
        <w:pStyle w:val="87"/>
        <w:spacing w:before="156" w:after="156"/>
        <w:rPr>
          <w:rFonts w:ascii="宋体" w:hAnsi="宋体" w:eastAsia="宋体"/>
        </w:rPr>
      </w:pPr>
      <w:bookmarkStart w:id="378" w:name="_Toc183897562"/>
      <w:r>
        <w:rPr>
          <w:rFonts w:ascii="宋体" w:hAnsi="宋体" w:eastAsia="宋体"/>
        </w:rPr>
        <w:t>扭矩扳手</w:t>
      </w:r>
      <w:r>
        <w:rPr>
          <w:rFonts w:hint="eastAsia" w:ascii="宋体" w:hAnsi="宋体" w:eastAsia="宋体"/>
        </w:rPr>
        <w:t>：</w:t>
      </w:r>
      <w:r>
        <w:rPr>
          <w:rFonts w:ascii="宋体" w:hAnsi="宋体" w:eastAsia="宋体"/>
        </w:rPr>
        <w:t>9.525</w:t>
      </w:r>
      <w:r>
        <w:rPr>
          <w:rFonts w:hint="eastAsia" w:ascii="宋体" w:hAnsi="宋体" w:eastAsia="宋体"/>
        </w:rPr>
        <w:t xml:space="preserve"> </w:t>
      </w:r>
      <w:r>
        <w:rPr>
          <w:rFonts w:ascii="宋体" w:hAnsi="宋体" w:eastAsia="宋体"/>
        </w:rPr>
        <w:t>mm套筒驱动扭矩扳手，带76.2</w:t>
      </w:r>
      <w:r>
        <w:rPr>
          <w:rFonts w:hint="eastAsia" w:ascii="宋体" w:hAnsi="宋体" w:eastAsia="宋体"/>
        </w:rPr>
        <w:t xml:space="preserve"> m</w:t>
      </w:r>
      <w:r>
        <w:rPr>
          <w:rFonts w:ascii="宋体" w:hAnsi="宋体" w:eastAsia="宋体"/>
        </w:rPr>
        <w:t>m的拓展组件</w:t>
      </w:r>
      <w:r>
        <w:rPr>
          <w:rFonts w:hint="eastAsia" w:ascii="宋体" w:hAnsi="宋体" w:eastAsia="宋体"/>
        </w:rPr>
        <w:t>。</w:t>
      </w:r>
      <w:bookmarkEnd w:id="378"/>
    </w:p>
    <w:p w14:paraId="3E84693C">
      <w:pPr>
        <w:pStyle w:val="87"/>
        <w:spacing w:before="156" w:after="156"/>
        <w:rPr>
          <w:rFonts w:ascii="宋体" w:hAnsi="宋体" w:eastAsia="宋体"/>
        </w:rPr>
      </w:pPr>
      <w:bookmarkStart w:id="379" w:name="_Toc183897563"/>
      <w:r>
        <w:rPr>
          <w:rFonts w:ascii="宋体" w:hAnsi="宋体" w:eastAsia="宋体"/>
        </w:rPr>
        <w:t>双组分环氧树脂</w:t>
      </w:r>
      <w:r>
        <w:rPr>
          <w:rFonts w:hint="eastAsia" w:ascii="宋体" w:hAnsi="宋体" w:eastAsia="宋体"/>
        </w:rPr>
        <w:t>：</w:t>
      </w:r>
      <w:r>
        <w:rPr>
          <w:rFonts w:ascii="宋体" w:hAnsi="宋体" w:eastAsia="宋体"/>
        </w:rPr>
        <w:t>静置24小时最低抗拉强度</w:t>
      </w:r>
      <w:r>
        <w:rPr>
          <w:rFonts w:hint="eastAsia" w:ascii="宋体" w:hAnsi="宋体" w:eastAsia="宋体"/>
        </w:rPr>
        <w:t>可</w:t>
      </w:r>
      <w:r>
        <w:rPr>
          <w:rFonts w:ascii="宋体" w:hAnsi="宋体" w:eastAsia="宋体"/>
        </w:rPr>
        <w:t>达到4.1</w:t>
      </w:r>
      <w:r>
        <w:rPr>
          <w:rFonts w:hint="eastAsia" w:ascii="宋体" w:hAnsi="宋体" w:eastAsia="宋体"/>
        </w:rPr>
        <w:t xml:space="preserve"> </w:t>
      </w:r>
      <w:r>
        <w:rPr>
          <w:rFonts w:ascii="宋体" w:hAnsi="宋体" w:eastAsia="宋体"/>
        </w:rPr>
        <w:t>MPa，静置24小时后抗剪切强度</w:t>
      </w:r>
      <w:r>
        <w:rPr>
          <w:rFonts w:hint="eastAsia" w:ascii="宋体" w:hAnsi="宋体" w:eastAsia="宋体"/>
        </w:rPr>
        <w:t>可</w:t>
      </w:r>
      <w:r>
        <w:rPr>
          <w:rFonts w:ascii="宋体" w:hAnsi="宋体" w:eastAsia="宋体"/>
        </w:rPr>
        <w:t>达到13.8</w:t>
      </w:r>
      <w:r>
        <w:rPr>
          <w:rFonts w:hint="eastAsia" w:ascii="宋体" w:hAnsi="宋体" w:eastAsia="宋体"/>
        </w:rPr>
        <w:t xml:space="preserve"> </w:t>
      </w:r>
      <w:r>
        <w:rPr>
          <w:rFonts w:ascii="宋体" w:hAnsi="宋体" w:eastAsia="宋体"/>
        </w:rPr>
        <w:t>MPa</w:t>
      </w:r>
      <w:r>
        <w:rPr>
          <w:rFonts w:hint="eastAsia" w:ascii="宋体" w:hAnsi="宋体" w:eastAsia="宋体"/>
        </w:rPr>
        <w:t>。</w:t>
      </w:r>
      <w:bookmarkEnd w:id="379"/>
    </w:p>
    <w:p w14:paraId="78C5FCA2">
      <w:pPr>
        <w:pStyle w:val="87"/>
        <w:spacing w:before="156" w:after="156"/>
        <w:rPr>
          <w:rFonts w:ascii="宋体" w:hAnsi="宋体" w:eastAsia="宋体"/>
          <w:sz w:val="24"/>
        </w:rPr>
      </w:pPr>
      <w:bookmarkStart w:id="380" w:name="_Toc183897564"/>
      <w:r>
        <w:rPr>
          <w:rFonts w:ascii="宋体" w:hAnsi="宋体" w:eastAsia="宋体"/>
        </w:rPr>
        <w:t>其他</w:t>
      </w:r>
      <w:r>
        <w:rPr>
          <w:rFonts w:hint="eastAsia" w:ascii="宋体" w:hAnsi="宋体" w:eastAsia="宋体"/>
          <w:sz w:val="24"/>
        </w:rPr>
        <w:t>：</w:t>
      </w:r>
      <w:r>
        <w:rPr>
          <w:rFonts w:ascii="宋体" w:hAnsi="宋体" w:eastAsia="宋体"/>
        </w:rPr>
        <w:t>水溶性或永久性马克笔、润滑剂（油脂或油），4</w:t>
      </w:r>
      <w:r>
        <w:rPr>
          <w:rFonts w:hint="eastAsia" w:ascii="宋体" w:hAnsi="宋体" w:eastAsia="宋体"/>
        </w:rPr>
        <w:t xml:space="preserve"> </w:t>
      </w:r>
      <w:r>
        <w:rPr>
          <w:rFonts w:ascii="宋体" w:hAnsi="宋体" w:eastAsia="宋体"/>
        </w:rPr>
        <w:t>mm宽胶带，刀片等。</w:t>
      </w:r>
      <w:bookmarkEnd w:id="380"/>
    </w:p>
    <w:p w14:paraId="5E79CAE3">
      <w:pPr>
        <w:pStyle w:val="86"/>
        <w:spacing w:before="156" w:after="156"/>
      </w:pPr>
      <w:bookmarkStart w:id="381" w:name="_Toc183898632"/>
      <w:bookmarkStart w:id="382" w:name="_Toc176167876"/>
      <w:bookmarkStart w:id="383" w:name="_Toc183898317"/>
      <w:bookmarkStart w:id="384" w:name="_Toc183897565"/>
      <w:bookmarkStart w:id="385" w:name="_Toc183898470"/>
      <w:bookmarkStart w:id="386" w:name="_Toc109140532"/>
      <w:bookmarkStart w:id="387" w:name="_Toc143596008"/>
      <w:bookmarkStart w:id="388" w:name="_Toc184997609"/>
      <w:bookmarkStart w:id="389" w:name="_Toc183897632"/>
      <w:bookmarkStart w:id="390" w:name="_Toc175831152"/>
      <w:r>
        <w:t>试验准备</w:t>
      </w:r>
      <w:bookmarkEnd w:id="381"/>
      <w:bookmarkEnd w:id="382"/>
      <w:bookmarkEnd w:id="383"/>
      <w:bookmarkEnd w:id="384"/>
      <w:bookmarkEnd w:id="385"/>
      <w:bookmarkEnd w:id="386"/>
      <w:bookmarkEnd w:id="387"/>
      <w:bookmarkEnd w:id="388"/>
      <w:bookmarkEnd w:id="389"/>
      <w:bookmarkEnd w:id="390"/>
    </w:p>
    <w:p w14:paraId="01694002">
      <w:pPr>
        <w:pStyle w:val="87"/>
        <w:spacing w:before="156" w:after="156"/>
      </w:pPr>
      <w:bookmarkStart w:id="391" w:name="_Toc183897566"/>
      <w:r>
        <w:rPr>
          <w:rFonts w:hint="eastAsia"/>
        </w:rPr>
        <w:t>试件成型</w:t>
      </w:r>
      <w:bookmarkEnd w:id="391"/>
    </w:p>
    <w:p w14:paraId="3DC94287">
      <w:pPr>
        <w:widowControl/>
        <w:ind w:firstLine="420" w:firstLineChars="200"/>
        <w:rPr>
          <w:rFonts w:ascii="宋体" w:hAnsi="宋体"/>
          <w:kern w:val="0"/>
        </w:rPr>
      </w:pPr>
      <w:r>
        <w:rPr>
          <w:rFonts w:ascii="宋体" w:hAnsi="宋体"/>
          <w:kern w:val="0"/>
        </w:rPr>
        <w:t>试验室</w:t>
      </w:r>
      <w:r>
        <w:rPr>
          <w:rFonts w:hint="eastAsia" w:ascii="宋体" w:hAnsi="宋体"/>
          <w:kern w:val="0"/>
        </w:rPr>
        <w:t>以完成目标配合比设计的混合料为基础，</w:t>
      </w:r>
      <w:r>
        <w:rPr>
          <w:rFonts w:ascii="宋体" w:hAnsi="宋体"/>
          <w:kern w:val="0"/>
        </w:rPr>
        <w:t>制备</w:t>
      </w:r>
      <w:r>
        <w:rPr>
          <w:rFonts w:hint="eastAsia" w:ascii="宋体" w:hAnsi="宋体"/>
          <w:kern w:val="0"/>
        </w:rPr>
        <w:t>3</w:t>
      </w:r>
      <w:r>
        <w:rPr>
          <w:rFonts w:ascii="宋体" w:hAnsi="宋体"/>
          <w:kern w:val="0"/>
        </w:rPr>
        <w:t>个试件，试件直径为150</w:t>
      </w:r>
      <w:r>
        <w:rPr>
          <w:rFonts w:hint="eastAsia" w:ascii="宋体" w:hAnsi="宋体"/>
          <w:kern w:val="0"/>
        </w:rPr>
        <w:t xml:space="preserve"> </w:t>
      </w:r>
      <w:r>
        <w:rPr>
          <w:rFonts w:ascii="宋体" w:hAnsi="宋体"/>
          <w:kern w:val="0"/>
        </w:rPr>
        <w:t>mm，高度为115</w:t>
      </w:r>
      <w:r>
        <w:rPr>
          <w:rFonts w:hint="eastAsia" w:ascii="宋体" w:hAnsi="宋体"/>
          <w:kern w:val="0"/>
        </w:rPr>
        <w:t xml:space="preserve"> </w:t>
      </w:r>
      <w:r>
        <w:rPr>
          <w:rFonts w:ascii="宋体" w:hAnsi="宋体"/>
          <w:kern w:val="0"/>
        </w:rPr>
        <w:t>mm±5</w:t>
      </w:r>
      <w:r>
        <w:rPr>
          <w:rFonts w:hint="eastAsia" w:ascii="宋体" w:hAnsi="宋体"/>
          <w:kern w:val="0"/>
        </w:rPr>
        <w:t xml:space="preserve"> </w:t>
      </w:r>
      <w:r>
        <w:rPr>
          <w:rFonts w:ascii="宋体" w:hAnsi="宋体"/>
          <w:kern w:val="0"/>
        </w:rPr>
        <w:t>mm，试件成型后</w:t>
      </w:r>
      <w:r>
        <w:rPr>
          <w:rFonts w:hint="eastAsia" w:ascii="宋体" w:hAnsi="宋体"/>
          <w:kern w:val="0"/>
        </w:rPr>
        <w:t>应在</w:t>
      </w:r>
      <w:r>
        <w:rPr>
          <w:rFonts w:ascii="宋体" w:hAnsi="宋体"/>
          <w:kern w:val="0"/>
        </w:rPr>
        <w:t>5</w:t>
      </w:r>
      <w:r>
        <w:rPr>
          <w:rFonts w:hint="eastAsia" w:ascii="宋体" w:hAnsi="宋体"/>
          <w:kern w:val="0"/>
        </w:rPr>
        <w:t>d</w:t>
      </w:r>
      <w:r>
        <w:rPr>
          <w:rFonts w:ascii="宋体" w:hAnsi="宋体"/>
          <w:kern w:val="0"/>
        </w:rPr>
        <w:t>内完成试验。在同一天内完成所有混合料试件的测试工作，避免不确定因素影响测量结果。</w:t>
      </w:r>
    </w:p>
    <w:p w14:paraId="6D09F88D">
      <w:pPr>
        <w:pStyle w:val="87"/>
        <w:spacing w:before="156" w:after="156"/>
        <w:rPr>
          <w:sz w:val="24"/>
        </w:rPr>
      </w:pPr>
      <w:bookmarkStart w:id="392" w:name="_Toc183897567"/>
      <w:r>
        <w:t>钻芯取样</w:t>
      </w:r>
      <w:bookmarkEnd w:id="392"/>
    </w:p>
    <w:p w14:paraId="329137C7">
      <w:pPr>
        <w:widowControl/>
        <w:ind w:firstLine="420" w:firstLineChars="200"/>
        <w:rPr>
          <w:rFonts w:ascii="宋体" w:hAnsi="宋体"/>
          <w:kern w:val="0"/>
        </w:rPr>
      </w:pPr>
      <w:r>
        <w:rPr>
          <w:rFonts w:ascii="宋体" w:hAnsi="宋体"/>
          <w:kern w:val="0"/>
        </w:rPr>
        <w:t>试样直径应为150</w:t>
      </w:r>
      <w:r>
        <w:rPr>
          <w:rFonts w:hint="eastAsia" w:ascii="宋体" w:hAnsi="宋体"/>
          <w:kern w:val="0"/>
        </w:rPr>
        <w:t xml:space="preserve"> </w:t>
      </w:r>
      <w:r>
        <w:rPr>
          <w:rFonts w:ascii="宋体" w:hAnsi="宋体"/>
          <w:kern w:val="0"/>
        </w:rPr>
        <w:t>mm±2</w:t>
      </w:r>
      <w:r>
        <w:rPr>
          <w:rFonts w:hint="eastAsia" w:ascii="宋体" w:hAnsi="宋体"/>
          <w:kern w:val="0"/>
        </w:rPr>
        <w:t xml:space="preserve"> </w:t>
      </w:r>
      <w:r>
        <w:rPr>
          <w:rFonts w:ascii="宋体" w:hAnsi="宋体"/>
          <w:kern w:val="0"/>
        </w:rPr>
        <w:t>mm，高度至少为38</w:t>
      </w:r>
      <w:r>
        <w:rPr>
          <w:rFonts w:hint="eastAsia" w:ascii="宋体" w:hAnsi="宋体"/>
          <w:kern w:val="0"/>
        </w:rPr>
        <w:t xml:space="preserve"> </w:t>
      </w:r>
      <w:r>
        <w:rPr>
          <w:rFonts w:ascii="宋体" w:hAnsi="宋体"/>
          <w:kern w:val="0"/>
        </w:rPr>
        <w:t>mm。</w:t>
      </w:r>
    </w:p>
    <w:p w14:paraId="08159F31">
      <w:pPr>
        <w:pStyle w:val="86"/>
        <w:spacing w:before="156" w:after="156"/>
      </w:pPr>
      <w:bookmarkStart w:id="393" w:name="_Toc183897568"/>
      <w:bookmarkStart w:id="394" w:name="_Toc175831153"/>
      <w:bookmarkStart w:id="395" w:name="_Toc109140533"/>
      <w:bookmarkStart w:id="396" w:name="_Toc143596009"/>
      <w:bookmarkStart w:id="397" w:name="_Toc183898633"/>
      <w:bookmarkStart w:id="398" w:name="_Toc176167877"/>
      <w:bookmarkStart w:id="399" w:name="_Toc183898318"/>
      <w:bookmarkStart w:id="400" w:name="_Toc184997610"/>
      <w:bookmarkStart w:id="401" w:name="_Toc183898471"/>
      <w:bookmarkStart w:id="402" w:name="_Toc183897633"/>
      <w:r>
        <w:t>试验步骤</w:t>
      </w:r>
      <w:bookmarkEnd w:id="393"/>
      <w:bookmarkEnd w:id="394"/>
      <w:bookmarkEnd w:id="395"/>
      <w:bookmarkEnd w:id="396"/>
      <w:bookmarkEnd w:id="397"/>
      <w:bookmarkEnd w:id="398"/>
      <w:bookmarkEnd w:id="399"/>
      <w:bookmarkEnd w:id="400"/>
      <w:bookmarkEnd w:id="401"/>
      <w:bookmarkEnd w:id="402"/>
    </w:p>
    <w:p w14:paraId="4088E2BB">
      <w:pPr>
        <w:pStyle w:val="87"/>
        <w:spacing w:before="156" w:after="156"/>
      </w:pPr>
      <w:bookmarkStart w:id="403" w:name="_Toc183897569"/>
      <w:r>
        <w:t>试件制备</w:t>
      </w:r>
      <w:bookmarkEnd w:id="403"/>
    </w:p>
    <w:p w14:paraId="4C0B8629">
      <w:pPr>
        <w:pStyle w:val="182"/>
        <w:numPr>
          <w:ilvl w:val="255"/>
          <w:numId w:val="0"/>
        </w:numPr>
        <w:ind w:left="425"/>
      </w:pPr>
      <w:r>
        <w:rPr>
          <w:rFonts w:hint="eastAsia"/>
        </w:rPr>
        <w:t>沥青混合料抗裂性能试件制备步骤如下：</w:t>
      </w:r>
    </w:p>
    <w:p w14:paraId="5E6F0828">
      <w:pPr>
        <w:pStyle w:val="182"/>
        <w:numPr>
          <w:ilvl w:val="0"/>
          <w:numId w:val="34"/>
        </w:numPr>
      </w:pPr>
      <w:r>
        <w:rPr>
          <w:rFonts w:hAnsi="宋体"/>
        </w:rPr>
        <w:t>垂直于圆柱形试件的顶面切割试样，修剪试件侧面宽度为76</w:t>
      </w:r>
      <w:r>
        <w:rPr>
          <w:rFonts w:hint="eastAsia" w:hAnsi="宋体"/>
        </w:rPr>
        <w:t xml:space="preserve"> </w:t>
      </w:r>
      <w:r>
        <w:rPr>
          <w:rFonts w:hAnsi="宋体"/>
        </w:rPr>
        <w:t>mm±0.5</w:t>
      </w:r>
      <w:r>
        <w:rPr>
          <w:rFonts w:hint="eastAsia" w:hAnsi="宋体"/>
        </w:rPr>
        <w:t xml:space="preserve"> </w:t>
      </w:r>
      <w:r>
        <w:rPr>
          <w:rFonts w:hAnsi="宋体"/>
        </w:rPr>
        <w:t>mm</w:t>
      </w:r>
      <w:r>
        <w:rPr>
          <w:rFonts w:hint="eastAsia" w:hAnsi="宋体"/>
        </w:rPr>
        <w:t>，试件形状如图C.2</w:t>
      </w:r>
      <w:r>
        <w:rPr>
          <w:rFonts w:hAnsi="宋体"/>
        </w:rPr>
        <w:t>。使用单刃锯时，沿着模具标记的线条进行切割，移除间隔条</w:t>
      </w:r>
      <w:r>
        <w:rPr>
          <w:rFonts w:hint="eastAsia" w:hAnsi="宋体"/>
        </w:rPr>
        <w:t>；</w:t>
      </w:r>
    </w:p>
    <w:p w14:paraId="6498D9C5">
      <w:pPr>
        <w:pStyle w:val="182"/>
      </w:pPr>
      <w:r>
        <w:t>切割每个试件的顶部和底部，制作高度为38</w:t>
      </w:r>
      <w:r>
        <w:rPr>
          <w:rFonts w:hint="eastAsia"/>
        </w:rPr>
        <w:t xml:space="preserve"> </w:t>
      </w:r>
      <w:r>
        <w:t>mm</w:t>
      </w:r>
      <w:r>
        <w:rPr>
          <w:rFonts w:hAnsi="宋体"/>
        </w:rPr>
        <w:t>±</w:t>
      </w:r>
      <w:r>
        <w:t>0.5</w:t>
      </w:r>
      <w:r>
        <w:rPr>
          <w:rFonts w:hint="eastAsia"/>
        </w:rPr>
        <w:t xml:space="preserve"> </w:t>
      </w:r>
      <w:r>
        <w:t>mm的试件,移除间隔条</w:t>
      </w:r>
      <w:r>
        <w:rPr>
          <w:rFonts w:hint="eastAsia"/>
        </w:rPr>
        <w:t>；</w:t>
      </w:r>
    </w:p>
    <w:p w14:paraId="56E74257">
      <w:pPr>
        <w:pStyle w:val="182"/>
      </w:pPr>
      <w:r>
        <w:rPr>
          <w:rFonts w:hint="eastAsia"/>
        </w:rPr>
        <w:t>按照J</w:t>
      </w:r>
      <w:r>
        <w:t xml:space="preserve">TG </w:t>
      </w:r>
      <w:r>
        <w:rPr>
          <w:rFonts w:hint="eastAsia"/>
        </w:rPr>
        <w:t>E20</w:t>
      </w:r>
      <w:r>
        <w:t>-2011</w:t>
      </w:r>
      <w:r>
        <w:rPr>
          <w:rFonts w:hint="eastAsia"/>
        </w:rPr>
        <w:t>中的T</w:t>
      </w:r>
      <w:r>
        <w:t xml:space="preserve"> </w:t>
      </w:r>
      <w:r>
        <w:rPr>
          <w:rFonts w:hint="eastAsia"/>
        </w:rPr>
        <w:t>0705方法</w:t>
      </w:r>
      <w:r>
        <w:t>计算切割后的试件密度</w:t>
      </w:r>
      <w:r>
        <w:rPr>
          <w:rFonts w:hint="eastAsia"/>
        </w:rPr>
        <w:t>，试件空隙率不</w:t>
      </w:r>
      <w:r>
        <w:t>应</w:t>
      </w:r>
      <w:r>
        <w:rPr>
          <w:rFonts w:hint="eastAsia"/>
        </w:rPr>
        <w:t>超过</w:t>
      </w:r>
      <w:r>
        <w:t>8%</w:t>
      </w:r>
      <w:r>
        <w:rPr>
          <w:rFonts w:hint="eastAsia"/>
        </w:rPr>
        <w:t>,</w:t>
      </w:r>
      <w:r>
        <w:t>若切割后的试件不符</w:t>
      </w:r>
      <w:r>
        <w:rPr>
          <w:rFonts w:hint="eastAsia"/>
        </w:rPr>
        <w:t>合</w:t>
      </w:r>
      <w:r>
        <w:t>要求，则需重新制备。</w:t>
      </w:r>
    </w:p>
    <w:p w14:paraId="00E8F367">
      <w:pPr>
        <w:widowControl/>
        <w:spacing w:before="156" w:beforeLines="50" w:after="156" w:afterLines="50" w:line="240" w:lineRule="auto"/>
        <w:ind w:left="79" w:right="78" w:rightChars="37"/>
        <w:jc w:val="center"/>
        <w:rPr>
          <w:kern w:val="0"/>
        </w:rPr>
      </w:pPr>
      <w:r>
        <w:rPr>
          <w:kern w:val="0"/>
        </w:rPr>
        <w:drawing>
          <wp:inline distT="0" distB="0" distL="0" distR="0">
            <wp:extent cx="1953260" cy="982980"/>
            <wp:effectExtent l="0" t="0" r="8890" b="7620"/>
            <wp:docPr id="6" name="图片 6" descr="图片包含 烤箱, 桌子, 游戏机, 电脑&#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包含 烤箱, 桌子, 游戏机, 电脑&#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l="15257" t="41101" r="47660" b="34018"/>
                    <a:stretch>
                      <a:fillRect/>
                    </a:stretch>
                  </pic:blipFill>
                  <pic:spPr>
                    <a:xfrm>
                      <a:off x="0" y="0"/>
                      <a:ext cx="1955874" cy="984569"/>
                    </a:xfrm>
                    <a:prstGeom prst="rect">
                      <a:avLst/>
                    </a:prstGeom>
                    <a:noFill/>
                    <a:ln>
                      <a:noFill/>
                    </a:ln>
                  </pic:spPr>
                </pic:pic>
              </a:graphicData>
            </a:graphic>
          </wp:inline>
        </w:drawing>
      </w:r>
    </w:p>
    <w:p w14:paraId="03CE6A33">
      <w:pPr>
        <w:pStyle w:val="91"/>
        <w:spacing w:before="156" w:after="156"/>
      </w:pPr>
      <w:r>
        <w:t>OT试件</w:t>
      </w:r>
    </w:p>
    <w:p w14:paraId="17FC924B">
      <w:pPr>
        <w:pStyle w:val="87"/>
        <w:spacing w:before="156" w:after="156"/>
      </w:pPr>
      <w:bookmarkStart w:id="404" w:name="_Toc183897570"/>
      <w:r>
        <w:rPr>
          <w:rFonts w:hint="eastAsia"/>
        </w:rPr>
        <w:t>试件装配</w:t>
      </w:r>
    </w:p>
    <w:p w14:paraId="7FCD2DB3">
      <w:pPr>
        <w:pStyle w:val="182"/>
        <w:numPr>
          <w:ilvl w:val="255"/>
          <w:numId w:val="0"/>
        </w:numPr>
        <w:ind w:left="425"/>
      </w:pPr>
      <w:r>
        <w:rPr>
          <w:rFonts w:hint="eastAsia"/>
        </w:rPr>
        <w:t>沥青混合料抗裂性能试件装配步骤如下：</w:t>
      </w:r>
    </w:p>
    <w:bookmarkEnd w:id="404"/>
    <w:p w14:paraId="6B0875BB">
      <w:pPr>
        <w:pStyle w:val="182"/>
        <w:numPr>
          <w:ilvl w:val="0"/>
          <w:numId w:val="35"/>
        </w:numPr>
        <w:rPr>
          <w:rFonts w:hAnsi="宋体"/>
        </w:rPr>
      </w:pPr>
      <w:r>
        <w:rPr>
          <w:rFonts w:hint="eastAsia" w:hAnsi="宋体"/>
        </w:rPr>
        <w:t>准备安装试件所需的材料，每个试件的胶合过程需单独完成；</w:t>
      </w:r>
    </w:p>
    <w:p w14:paraId="3E998407">
      <w:pPr>
        <w:pStyle w:val="182"/>
        <w:rPr>
          <w:rFonts w:hAnsi="宋体"/>
        </w:rPr>
      </w:pPr>
      <w:r>
        <w:rPr>
          <w:rFonts w:hint="eastAsia" w:hAnsi="宋体"/>
        </w:rPr>
        <w:t>确保底板和隔板干净，清洗之前试验的残留污染物和环氧树脂；</w:t>
      </w:r>
    </w:p>
    <w:p w14:paraId="226AD0CB">
      <w:pPr>
        <w:pStyle w:val="182"/>
        <w:rPr>
          <w:rFonts w:hAnsi="宋体"/>
        </w:rPr>
      </w:pPr>
      <w:r>
        <w:rPr>
          <w:rFonts w:hint="eastAsia" w:hAnsi="宋体"/>
        </w:rPr>
        <w:t>将底板固定到安装夹具上，将间隔条插入板之间；</w:t>
      </w:r>
    </w:p>
    <w:p w14:paraId="76D8C3D3">
      <w:pPr>
        <w:pStyle w:val="187"/>
        <w:rPr>
          <w:rFonts w:hAnsi="宋体"/>
        </w:rPr>
      </w:pPr>
      <w:r>
        <w:rPr>
          <w:rFonts w:hint="eastAsia" w:hAnsi="宋体"/>
        </w:rPr>
        <w:t>按需在间隔条上涂抹少量润滑剂以便于之后移除。两个底板间隙为4.2 mm。</w:t>
      </w:r>
    </w:p>
    <w:p w14:paraId="74DD6BD0">
      <w:pPr>
        <w:pStyle w:val="182"/>
        <w:rPr>
          <w:rFonts w:hAnsi="宋体"/>
        </w:rPr>
      </w:pPr>
      <w:r>
        <w:rPr>
          <w:rFonts w:hint="eastAsia" w:hAnsi="宋体"/>
        </w:rPr>
        <w:t>在试件中心线涂抹少量凡士林。然后沿该线在凡士林上方放置一块4毫米宽的纸胶带，以便在样品安装到底板后取出；</w:t>
      </w:r>
    </w:p>
    <w:p w14:paraId="6D7DF5A2">
      <w:pPr>
        <w:pStyle w:val="182"/>
        <w:rPr>
          <w:rFonts w:hAnsi="宋体"/>
        </w:rPr>
      </w:pPr>
      <w:r>
        <w:rPr>
          <w:rFonts w:hint="eastAsia" w:hAnsi="宋体"/>
        </w:rPr>
        <w:t>分别为三个试样准备大约16 g双组分环氧树脂；</w:t>
      </w:r>
    </w:p>
    <w:p w14:paraId="1445376C">
      <w:pPr>
        <w:pStyle w:val="182"/>
        <w:rPr>
          <w:rFonts w:hAnsi="宋体"/>
        </w:rPr>
      </w:pPr>
      <w:r>
        <w:rPr>
          <w:rFonts w:hint="eastAsia" w:hAnsi="宋体"/>
        </w:rPr>
        <w:t xml:space="preserve">避开纸胶带，用抹刀分别将混合环氧树脂均匀涂抹在试样的每一侧； </w:t>
      </w:r>
    </w:p>
    <w:p w14:paraId="3E6BEF8B">
      <w:pPr>
        <w:pStyle w:val="182"/>
        <w:rPr>
          <w:rFonts w:hAnsi="宋体"/>
        </w:rPr>
      </w:pPr>
      <w:r>
        <w:rPr>
          <w:rFonts w:hint="eastAsia" w:hAnsi="宋体"/>
        </w:rPr>
        <w:t>将样品安装在底板上，确保样品居中并与边缘对齐；</w:t>
      </w:r>
    </w:p>
    <w:p w14:paraId="4DD18202">
      <w:pPr>
        <w:pStyle w:val="182"/>
        <w:rPr>
          <w:rFonts w:hAnsi="宋体"/>
        </w:rPr>
      </w:pPr>
      <w:r>
        <w:rPr>
          <w:rFonts w:hint="eastAsia" w:hAnsi="宋体"/>
        </w:rPr>
        <w:t>在试样顶部放置2.268 kg的砝码，以确保试件与底板完全黏合；</w:t>
      </w:r>
    </w:p>
    <w:p w14:paraId="797570BF">
      <w:pPr>
        <w:pStyle w:val="182"/>
        <w:rPr>
          <w:rFonts w:hAnsi="宋体"/>
        </w:rPr>
      </w:pPr>
      <w:r>
        <w:rPr>
          <w:rFonts w:hint="eastAsia" w:hAnsi="宋体"/>
        </w:rPr>
        <w:t>用刀片将多余的环氧树脂从底板上刮下来，并去除；</w:t>
      </w:r>
    </w:p>
    <w:p w14:paraId="2973506A">
      <w:pPr>
        <w:pStyle w:val="182"/>
        <w:rPr>
          <w:rFonts w:hAnsi="宋体"/>
        </w:rPr>
      </w:pPr>
      <w:r>
        <w:rPr>
          <w:rFonts w:hAnsi="宋体"/>
        </w:rPr>
        <w:t>移除纸胶带和间隔条，应避免试件偏移，将环氧树脂涂抹在试样上到移除胶带和间隔条的时间不应超过2</w:t>
      </w:r>
      <w:r>
        <w:rPr>
          <w:rFonts w:hint="eastAsia" w:hAnsi="宋体"/>
        </w:rPr>
        <w:t xml:space="preserve"> min；</w:t>
      </w:r>
    </w:p>
    <w:p w14:paraId="47E0C441">
      <w:pPr>
        <w:pStyle w:val="182"/>
        <w:rPr>
          <w:rFonts w:hAnsi="宋体"/>
        </w:rPr>
      </w:pPr>
      <w:r>
        <w:rPr>
          <w:rFonts w:hAnsi="宋体"/>
        </w:rPr>
        <w:t>至少静置24</w:t>
      </w:r>
      <w:r>
        <w:rPr>
          <w:rFonts w:hint="eastAsia" w:hAnsi="宋体"/>
        </w:rPr>
        <w:t xml:space="preserve"> h</w:t>
      </w:r>
      <w:r>
        <w:rPr>
          <w:rFonts w:hAnsi="宋体"/>
        </w:rPr>
        <w:t>以确保试件与底板黏结充分</w:t>
      </w:r>
      <w:r>
        <w:rPr>
          <w:rFonts w:hint="eastAsia" w:hAnsi="宋体"/>
        </w:rPr>
        <w:t>并</w:t>
      </w:r>
      <w:r>
        <w:rPr>
          <w:rFonts w:hAnsi="宋体"/>
        </w:rPr>
        <w:t>移除砝码</w:t>
      </w:r>
      <w:r>
        <w:rPr>
          <w:rFonts w:hint="eastAsia" w:hAnsi="宋体"/>
        </w:rPr>
        <w:t>；</w:t>
      </w:r>
    </w:p>
    <w:p w14:paraId="14D5D1F9">
      <w:pPr>
        <w:pStyle w:val="182"/>
        <w:rPr>
          <w:rFonts w:hAnsi="宋体"/>
        </w:rPr>
      </w:pPr>
      <w:r>
        <w:rPr>
          <w:rFonts w:hAnsi="宋体"/>
        </w:rPr>
        <w:t>测试前，将试件和底板一同放入OT温控箱或25℃±0.5℃的烘箱中至少1</w:t>
      </w:r>
      <w:r>
        <w:rPr>
          <w:rFonts w:hint="eastAsia" w:hAnsi="宋体"/>
        </w:rPr>
        <w:t xml:space="preserve"> </w:t>
      </w:r>
      <w:r>
        <w:rPr>
          <w:rFonts w:hAnsi="宋体"/>
        </w:rPr>
        <w:t>h。</w:t>
      </w:r>
    </w:p>
    <w:p w14:paraId="69E5078F">
      <w:pPr>
        <w:pStyle w:val="87"/>
        <w:spacing w:before="156" w:after="156"/>
      </w:pPr>
      <w:bookmarkStart w:id="405" w:name="_Toc183897571"/>
      <w:r>
        <w:t>启动试验设备</w:t>
      </w:r>
      <w:bookmarkEnd w:id="405"/>
    </w:p>
    <w:p w14:paraId="125FEB71">
      <w:pPr>
        <w:widowControl/>
        <w:ind w:firstLine="420" w:firstLineChars="200"/>
        <w:rPr>
          <w:rFonts w:ascii="宋体" w:hAnsi="宋体"/>
          <w:kern w:val="0"/>
        </w:rPr>
      </w:pPr>
      <w:r>
        <w:rPr>
          <w:rFonts w:ascii="宋体" w:hAnsi="宋体"/>
          <w:kern w:val="0"/>
        </w:rPr>
        <w:t>开启电脑，使用OT软件启动液压泵。</w:t>
      </w:r>
    </w:p>
    <w:p w14:paraId="04D81683">
      <w:pPr>
        <w:pStyle w:val="87"/>
        <w:spacing w:before="156" w:after="156"/>
      </w:pPr>
      <w:bookmarkStart w:id="406" w:name="_Toc183897572"/>
      <w:r>
        <w:t>测试信息输入</w:t>
      </w:r>
      <w:bookmarkEnd w:id="406"/>
    </w:p>
    <w:p w14:paraId="70E44580">
      <w:pPr>
        <w:widowControl/>
        <w:ind w:firstLine="420" w:firstLineChars="200"/>
        <w:rPr>
          <w:rFonts w:ascii="宋体" w:hAnsi="宋体"/>
          <w:kern w:val="0"/>
        </w:rPr>
      </w:pPr>
      <w:r>
        <w:rPr>
          <w:rFonts w:ascii="宋体" w:hAnsi="宋体"/>
          <w:kern w:val="0"/>
        </w:rPr>
        <w:t>在25℃±0.5℃的恒温下进行试验。试验开始前，保持至少10</w:t>
      </w:r>
      <w:r>
        <w:rPr>
          <w:rFonts w:hint="eastAsia" w:ascii="宋体" w:hAnsi="宋体"/>
          <w:kern w:val="0"/>
        </w:rPr>
        <w:t xml:space="preserve"> </w:t>
      </w:r>
      <w:r>
        <w:rPr>
          <w:rFonts w:ascii="宋体" w:hAnsi="宋体"/>
          <w:kern w:val="0"/>
        </w:rPr>
        <w:t>min的松弛期。待试件松弛和温度恒定后试验自动开始。从第一个周期开始算起，最大</w:t>
      </w:r>
      <w:r>
        <w:rPr>
          <w:rFonts w:hint="eastAsia" w:ascii="宋体" w:hAnsi="宋体"/>
          <w:kern w:val="0"/>
        </w:rPr>
        <w:t>峰值荷载</w:t>
      </w:r>
      <w:r>
        <w:rPr>
          <w:rFonts w:ascii="宋体" w:hAnsi="宋体"/>
          <w:kern w:val="0"/>
        </w:rPr>
        <w:t>减少93%后试验将自动终止</w:t>
      </w:r>
      <w:r>
        <w:rPr>
          <w:rFonts w:hint="eastAsia" w:ascii="宋体" w:hAnsi="宋体"/>
          <w:kern w:val="0"/>
        </w:rPr>
        <w:t>；</w:t>
      </w:r>
      <w:r>
        <w:rPr>
          <w:rFonts w:ascii="宋体" w:hAnsi="宋体"/>
          <w:kern w:val="0"/>
        </w:rPr>
        <w:t>如果荷载减少量没有达到93%，则运行1000次重复荷载，设备将自动停止试验。</w:t>
      </w:r>
    </w:p>
    <w:p w14:paraId="004B3C43">
      <w:pPr>
        <w:pStyle w:val="87"/>
        <w:spacing w:before="156" w:after="156"/>
      </w:pPr>
      <w:bookmarkStart w:id="407" w:name="_Toc183897573"/>
      <w:r>
        <w:t>试验完成</w:t>
      </w:r>
      <w:bookmarkEnd w:id="407"/>
    </w:p>
    <w:p w14:paraId="61537416">
      <w:pPr>
        <w:widowControl/>
        <w:ind w:firstLine="420" w:firstLineChars="200"/>
        <w:rPr>
          <w:rFonts w:ascii="宋体" w:hAnsi="宋体"/>
          <w:kern w:val="0"/>
        </w:rPr>
      </w:pPr>
      <w:r>
        <w:rPr>
          <w:rFonts w:ascii="宋体" w:hAnsi="宋体"/>
          <w:kern w:val="0"/>
        </w:rPr>
        <w:t>取下试件，关闭实验仪器。</w:t>
      </w:r>
    </w:p>
    <w:p w14:paraId="59994E1A">
      <w:pPr>
        <w:pStyle w:val="87"/>
        <w:spacing w:before="156" w:after="156"/>
      </w:pPr>
      <w:bookmarkStart w:id="408" w:name="_Toc183897574"/>
      <w:r>
        <w:rPr>
          <w:rFonts w:hint="eastAsia"/>
        </w:rPr>
        <w:t>数据记录</w:t>
      </w:r>
      <w:bookmarkEnd w:id="408"/>
    </w:p>
    <w:p w14:paraId="69562910">
      <w:pPr>
        <w:widowControl/>
        <w:ind w:firstLine="420" w:firstLineChars="200"/>
        <w:rPr>
          <w:rFonts w:ascii="宋体" w:hAnsi="宋体"/>
          <w:kern w:val="0"/>
        </w:rPr>
      </w:pPr>
      <w:r>
        <w:rPr>
          <w:rFonts w:hint="eastAsia" w:ascii="宋体" w:hAnsi="宋体"/>
          <w:kern w:val="0"/>
        </w:rPr>
        <w:t>应记录</w:t>
      </w:r>
      <w:r>
        <w:rPr>
          <w:rFonts w:ascii="宋体" w:hAnsi="宋体"/>
          <w:kern w:val="0"/>
        </w:rPr>
        <w:t>试件顶部的裂缝数量。</w:t>
      </w:r>
    </w:p>
    <w:p w14:paraId="2972410D">
      <w:pPr>
        <w:pStyle w:val="86"/>
        <w:spacing w:before="156" w:after="156"/>
      </w:pPr>
      <w:bookmarkStart w:id="409" w:name="_Toc183898319"/>
      <w:bookmarkStart w:id="410" w:name="_Toc109140534"/>
      <w:bookmarkStart w:id="411" w:name="_Toc176167878"/>
      <w:bookmarkStart w:id="412" w:name="_Toc175831154"/>
      <w:bookmarkStart w:id="413" w:name="_Toc183898472"/>
      <w:bookmarkStart w:id="414" w:name="_Toc143596010"/>
      <w:bookmarkStart w:id="415" w:name="_Toc183898634"/>
      <w:bookmarkStart w:id="416" w:name="_Toc184997611"/>
      <w:bookmarkStart w:id="417" w:name="_Toc183897575"/>
      <w:bookmarkStart w:id="418" w:name="_Toc183897634"/>
      <w:r>
        <w:t>计算</w:t>
      </w:r>
      <w:bookmarkEnd w:id="409"/>
      <w:bookmarkEnd w:id="410"/>
      <w:bookmarkEnd w:id="411"/>
      <w:bookmarkEnd w:id="412"/>
      <w:bookmarkEnd w:id="413"/>
      <w:bookmarkEnd w:id="414"/>
      <w:bookmarkEnd w:id="415"/>
      <w:bookmarkEnd w:id="416"/>
      <w:bookmarkEnd w:id="417"/>
      <w:bookmarkEnd w:id="418"/>
    </w:p>
    <w:p w14:paraId="626B9DA9">
      <w:pPr>
        <w:widowControl/>
        <w:ind w:firstLine="420" w:firstLineChars="200"/>
        <w:rPr>
          <w:rFonts w:ascii="宋体" w:hAnsi="宋体"/>
          <w:kern w:val="0"/>
        </w:rPr>
      </w:pPr>
      <w:r>
        <w:rPr>
          <w:rFonts w:hint="eastAsia" w:ascii="宋体" w:hAnsi="宋体"/>
          <w:kern w:val="0"/>
        </w:rPr>
        <w:t>从第一个测试周期开始测量，记录每次循环的峰值荷载，并</w:t>
      </w:r>
      <w:r>
        <w:rPr>
          <w:rFonts w:ascii="宋体" w:hAnsi="宋体"/>
          <w:kern w:val="0"/>
        </w:rPr>
        <w:t>拟合峰值荷载与重复荷载加载次数曲线</w:t>
      </w:r>
      <w:r>
        <w:rPr>
          <w:rFonts w:hint="eastAsia" w:ascii="宋体" w:hAnsi="宋体"/>
          <w:kern w:val="0"/>
        </w:rPr>
        <w:t>，</w:t>
      </w:r>
      <w:r>
        <w:rPr>
          <w:rFonts w:ascii="宋体" w:hAnsi="宋体"/>
          <w:kern w:val="0"/>
        </w:rPr>
        <w:t>如图C.3所示。</w:t>
      </w:r>
      <w:r>
        <w:rPr>
          <w:rFonts w:hint="eastAsia" w:ascii="宋体" w:hAnsi="宋体"/>
          <w:kern w:val="0"/>
        </w:rPr>
        <w:t>计算最大峰值荷载减少93%时的重复荷载加载次数，记为试件破坏时的加载次数。</w:t>
      </w:r>
    </w:p>
    <w:p w14:paraId="558C37BB">
      <w:pPr>
        <w:widowControl/>
        <w:spacing w:line="240" w:lineRule="auto"/>
        <w:ind w:firstLine="420" w:firstLineChars="200"/>
        <w:jc w:val="center"/>
        <w:rPr>
          <w:kern w:val="0"/>
          <w:sz w:val="24"/>
        </w:rPr>
      </w:pPr>
      <w:r>
        <w:drawing>
          <wp:inline distT="0" distB="0" distL="0" distR="0">
            <wp:extent cx="4944745" cy="1979930"/>
            <wp:effectExtent l="0" t="0" r="0" b="0"/>
            <wp:docPr id="2022121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12108" name="图片 1"/>
                    <pic:cNvPicPr>
                      <a:picLocks noChangeAspect="1"/>
                    </pic:cNvPicPr>
                  </pic:nvPicPr>
                  <pic:blipFill>
                    <a:blip r:embed="rId18"/>
                    <a:stretch>
                      <a:fillRect/>
                    </a:stretch>
                  </pic:blipFill>
                  <pic:spPr>
                    <a:xfrm>
                      <a:off x="0" y="0"/>
                      <a:ext cx="5016260" cy="2008678"/>
                    </a:xfrm>
                    <a:prstGeom prst="rect">
                      <a:avLst/>
                    </a:prstGeom>
                  </pic:spPr>
                </pic:pic>
              </a:graphicData>
            </a:graphic>
          </wp:inline>
        </w:drawing>
      </w:r>
    </w:p>
    <w:p w14:paraId="7F42EAE1">
      <w:pPr>
        <w:widowControl/>
        <w:spacing w:before="156" w:beforeLines="50" w:after="156" w:afterLines="50"/>
        <w:jc w:val="center"/>
        <w:rPr>
          <w:rFonts w:eastAsia="黑体"/>
          <w:kern w:val="0"/>
        </w:rPr>
      </w:pPr>
      <w:r>
        <w:rPr>
          <w:rFonts w:hint="eastAsia" w:eastAsia="黑体"/>
          <w:kern w:val="0"/>
        </w:rPr>
        <w:t>图</w:t>
      </w:r>
      <w:r>
        <w:rPr>
          <w:rFonts w:eastAsia="黑体"/>
          <w:kern w:val="0"/>
        </w:rPr>
        <w:t>C.3 开裂指数计算</w:t>
      </w:r>
    </w:p>
    <w:p w14:paraId="51B36EE7">
      <w:pPr>
        <w:pStyle w:val="86"/>
        <w:spacing w:before="156" w:after="156"/>
      </w:pPr>
      <w:bookmarkStart w:id="419" w:name="_Toc109140535"/>
      <w:bookmarkStart w:id="420" w:name="_Toc183897578"/>
      <w:bookmarkStart w:id="421" w:name="_Toc176167879"/>
      <w:bookmarkStart w:id="422" w:name="_Toc183897635"/>
      <w:bookmarkStart w:id="423" w:name="_Toc183898635"/>
      <w:bookmarkStart w:id="424" w:name="_Toc184997612"/>
      <w:bookmarkStart w:id="425" w:name="_Toc183898473"/>
      <w:bookmarkStart w:id="426" w:name="_Toc175831155"/>
      <w:bookmarkStart w:id="427" w:name="_Toc183898320"/>
      <w:bookmarkStart w:id="428" w:name="_Toc143596011"/>
      <w:r>
        <w:t>报告</w:t>
      </w:r>
      <w:bookmarkEnd w:id="419"/>
      <w:bookmarkEnd w:id="420"/>
      <w:bookmarkEnd w:id="421"/>
      <w:bookmarkEnd w:id="422"/>
      <w:bookmarkEnd w:id="423"/>
      <w:bookmarkEnd w:id="424"/>
      <w:bookmarkEnd w:id="425"/>
      <w:bookmarkEnd w:id="426"/>
      <w:bookmarkEnd w:id="427"/>
      <w:bookmarkEnd w:id="428"/>
    </w:p>
    <w:p w14:paraId="6BB26CEE">
      <w:pPr>
        <w:ind w:firstLine="420" w:firstLineChars="200"/>
        <w:rPr>
          <w:kern w:val="0"/>
          <w:szCs w:val="20"/>
        </w:rPr>
      </w:pPr>
      <w:r>
        <w:t>试验报告</w:t>
      </w:r>
      <w:r>
        <w:rPr>
          <w:rFonts w:hint="eastAsia"/>
        </w:rPr>
        <w:t>应</w:t>
      </w:r>
      <w:r>
        <w:t>列出沥青试件切割后</w:t>
      </w:r>
      <w:r>
        <w:rPr>
          <w:rFonts w:hint="eastAsia"/>
        </w:rPr>
        <w:t>空隙率</w:t>
      </w:r>
      <w:r>
        <w:t>、最大</w:t>
      </w:r>
      <w:r>
        <w:rPr>
          <w:rFonts w:hint="eastAsia"/>
        </w:rPr>
        <w:t>峰值荷载</w:t>
      </w:r>
      <w:r>
        <w:t>、</w:t>
      </w:r>
      <w:bookmarkStart w:id="429" w:name="OLE_LINK9"/>
      <w:r>
        <w:t>试件破坏时的加载次数</w:t>
      </w:r>
      <w:bookmarkEnd w:id="429"/>
      <w:r>
        <w:t>。</w:t>
      </w:r>
    </w:p>
    <w:p w14:paraId="3709DE92">
      <w:pPr>
        <w:widowControl/>
        <w:adjustRightInd/>
        <w:spacing w:line="240" w:lineRule="auto"/>
        <w:jc w:val="left"/>
        <w:rPr>
          <w:rFonts w:ascii="宋体" w:hAnsi="Times New Roman"/>
          <w:kern w:val="0"/>
          <w:szCs w:val="20"/>
        </w:rPr>
      </w:pPr>
      <w:r>
        <w:br w:type="page"/>
      </w:r>
    </w:p>
    <w:p w14:paraId="10AC677A">
      <w:pPr>
        <w:pStyle w:val="206"/>
      </w:pPr>
    </w:p>
    <w:p w14:paraId="410A5E08">
      <w:pPr>
        <w:pStyle w:val="207"/>
      </w:pPr>
    </w:p>
    <w:p w14:paraId="45C620EA">
      <w:pPr>
        <w:pStyle w:val="84"/>
        <w:spacing w:after="156"/>
      </w:pPr>
      <w:r>
        <w:br w:type="textWrapping"/>
      </w:r>
      <w:bookmarkStart w:id="430" w:name="_Toc184997613"/>
      <w:bookmarkStart w:id="431" w:name="_Toc183897636"/>
      <w:bookmarkStart w:id="432" w:name="_Toc183898591"/>
      <w:bookmarkStart w:id="433" w:name="_Toc183898321"/>
      <w:bookmarkStart w:id="434" w:name="_Toc183897579"/>
      <w:bookmarkStart w:id="435" w:name="_Toc183898474"/>
      <w:r>
        <w:rPr>
          <w:rFonts w:hint="eastAsia"/>
        </w:rPr>
        <w:t>（资料性）</w:t>
      </w:r>
      <w:r>
        <w:br w:type="textWrapping"/>
      </w:r>
      <w:r>
        <w:rPr>
          <w:rFonts w:hint="eastAsia"/>
        </w:rPr>
        <w:t>粘结层粘结强度性能测定方法</w:t>
      </w:r>
      <w:bookmarkEnd w:id="430"/>
      <w:bookmarkEnd w:id="431"/>
      <w:bookmarkEnd w:id="432"/>
      <w:bookmarkEnd w:id="433"/>
      <w:bookmarkEnd w:id="434"/>
      <w:bookmarkEnd w:id="435"/>
    </w:p>
    <w:p w14:paraId="5CE979D6">
      <w:pPr>
        <w:pStyle w:val="86"/>
        <w:spacing w:before="156" w:after="156"/>
      </w:pPr>
      <w:bookmarkStart w:id="436" w:name="_Toc183898637"/>
      <w:bookmarkStart w:id="437" w:name="_Toc183898322"/>
      <w:bookmarkStart w:id="438" w:name="_Toc183897580"/>
      <w:bookmarkStart w:id="439" w:name="_Toc183898475"/>
      <w:bookmarkStart w:id="440" w:name="_Toc183897637"/>
      <w:bookmarkStart w:id="441" w:name="_Toc184997614"/>
      <w:r>
        <w:rPr>
          <w:rFonts w:hint="eastAsia"/>
        </w:rPr>
        <w:t>拉拔法测试粘结层强度</w:t>
      </w:r>
      <w:bookmarkEnd w:id="436"/>
      <w:bookmarkEnd w:id="437"/>
      <w:bookmarkEnd w:id="438"/>
      <w:bookmarkEnd w:id="439"/>
      <w:bookmarkEnd w:id="440"/>
      <w:bookmarkEnd w:id="441"/>
    </w:p>
    <w:p w14:paraId="03F3F5DD">
      <w:pPr>
        <w:pStyle w:val="87"/>
        <w:spacing w:before="156" w:after="156"/>
      </w:pPr>
      <w:bookmarkStart w:id="442" w:name="_Toc183897581"/>
      <w:bookmarkStart w:id="443" w:name="_Toc109140537"/>
      <w:r>
        <w:t>仪具与材料技术要求</w:t>
      </w:r>
      <w:bookmarkEnd w:id="442"/>
      <w:bookmarkEnd w:id="443"/>
    </w:p>
    <w:p w14:paraId="412BE113">
      <w:pPr>
        <w:pStyle w:val="89"/>
        <w:spacing w:before="156" w:after="156"/>
        <w:rPr>
          <w:rFonts w:ascii="宋体" w:hAnsi="宋体" w:eastAsia="宋体"/>
        </w:rPr>
      </w:pPr>
      <w:r>
        <w:rPr>
          <w:rFonts w:hint="eastAsia" w:ascii="宋体" w:hAnsi="宋体" w:eastAsia="宋体"/>
        </w:rPr>
        <w:t>液压伺服多功能材料试验机：</w:t>
      </w:r>
      <w:r>
        <w:rPr>
          <w:rFonts w:ascii="宋体" w:hAnsi="宋体" w:eastAsia="宋体"/>
        </w:rPr>
        <w:t>拉伸时无明显振动和偏心的</w:t>
      </w:r>
      <w:r>
        <w:rPr>
          <w:rFonts w:hint="eastAsia" w:ascii="宋体" w:hAnsi="宋体" w:eastAsia="宋体"/>
        </w:rPr>
        <w:t>拉力机，</w:t>
      </w:r>
      <w:r>
        <w:rPr>
          <w:rFonts w:ascii="宋体" w:hAnsi="宋体" w:eastAsia="宋体"/>
        </w:rPr>
        <w:t>最大荷载不小于20</w:t>
      </w:r>
      <w:r>
        <w:rPr>
          <w:rFonts w:hint="eastAsia" w:ascii="宋体" w:hAnsi="宋体" w:eastAsia="宋体"/>
        </w:rPr>
        <w:t xml:space="preserve"> </w:t>
      </w:r>
      <w:r>
        <w:rPr>
          <w:rFonts w:ascii="宋体" w:hAnsi="宋体" w:eastAsia="宋体"/>
        </w:rPr>
        <w:t>kN，精度不低于1</w:t>
      </w:r>
      <w:r>
        <w:rPr>
          <w:rFonts w:hint="eastAsia" w:ascii="宋体" w:hAnsi="宋体" w:eastAsia="宋体"/>
        </w:rPr>
        <w:t xml:space="preserve"> </w:t>
      </w:r>
      <w:r>
        <w:rPr>
          <w:rFonts w:ascii="宋体" w:hAnsi="宋体" w:eastAsia="宋体"/>
        </w:rPr>
        <w:t>N</w:t>
      </w:r>
      <w:r>
        <w:rPr>
          <w:rFonts w:hint="eastAsia" w:ascii="宋体" w:hAnsi="宋体" w:eastAsia="宋体"/>
        </w:rPr>
        <w:t>。拉伸速率为10 mm/min±2 mm/min，温度控制精度0</w:t>
      </w:r>
      <w:r>
        <w:rPr>
          <w:rFonts w:ascii="宋体" w:hAnsi="宋体" w:eastAsia="宋体"/>
        </w:rPr>
        <w:t>.1℃</w:t>
      </w:r>
      <w:r>
        <w:rPr>
          <w:rFonts w:hint="eastAsia" w:ascii="宋体" w:hAnsi="宋体" w:eastAsia="宋体"/>
        </w:rPr>
        <w:t>。</w:t>
      </w:r>
    </w:p>
    <w:p w14:paraId="4B665BCF">
      <w:pPr>
        <w:pStyle w:val="89"/>
        <w:spacing w:before="156" w:after="156"/>
        <w:rPr>
          <w:rFonts w:ascii="宋体" w:hAnsi="宋体" w:eastAsia="宋体"/>
        </w:rPr>
      </w:pPr>
      <w:r>
        <w:rPr>
          <w:rFonts w:hint="eastAsia" w:ascii="宋体" w:hAnsi="宋体" w:eastAsia="宋体"/>
        </w:rPr>
        <w:t>拉拔夹具的结构应与图D.</w:t>
      </w:r>
      <w:r>
        <w:rPr>
          <w:rFonts w:ascii="宋体" w:hAnsi="宋体" w:eastAsia="宋体"/>
        </w:rPr>
        <w:t>1相符合，图</w:t>
      </w:r>
      <w:r>
        <w:rPr>
          <w:rFonts w:hint="eastAsia" w:ascii="宋体" w:hAnsi="宋体" w:eastAsia="宋体"/>
        </w:rPr>
        <w:t>D</w:t>
      </w:r>
      <w:r>
        <w:rPr>
          <w:rFonts w:ascii="宋体" w:hAnsi="宋体" w:eastAsia="宋体"/>
        </w:rPr>
        <w:t>.1包含分图a）、b）、c），</w:t>
      </w:r>
      <w:r>
        <w:rPr>
          <w:rFonts w:hint="eastAsia" w:ascii="宋体" w:hAnsi="宋体" w:eastAsia="宋体"/>
        </w:rPr>
        <w:t>具体结构说明如下：</w:t>
      </w:r>
    </w:p>
    <w:p w14:paraId="30DD0019">
      <w:pPr>
        <w:pStyle w:val="182"/>
        <w:numPr>
          <w:ilvl w:val="0"/>
          <w:numId w:val="36"/>
        </w:numPr>
      </w:pPr>
      <w:r>
        <w:rPr>
          <w:rFonts w:hint="eastAsia"/>
        </w:rPr>
        <w:t>拉拔头粘结在测试试件表面，便于施加拉力，直径为</w:t>
      </w:r>
      <w:r>
        <w:t>100 mm</w:t>
      </w:r>
      <w:r>
        <w:rPr>
          <w:rFonts w:hAnsi="宋体"/>
        </w:rPr>
        <w:t>±</w:t>
      </w:r>
      <w:r>
        <w:t>2</w:t>
      </w:r>
      <w:r>
        <w:rPr>
          <w:rFonts w:hint="eastAsia"/>
        </w:rPr>
        <w:t xml:space="preserve"> </w:t>
      </w:r>
      <w:r>
        <w:t>mm</w:t>
      </w:r>
      <w:r>
        <w:rPr>
          <w:rFonts w:hint="eastAsia"/>
        </w:rPr>
        <w:t>，厚度大于</w:t>
      </w:r>
      <w:r>
        <w:t>40</w:t>
      </w:r>
      <w:r>
        <w:rPr>
          <w:rFonts w:hint="eastAsia"/>
        </w:rPr>
        <w:t xml:space="preserve"> </w:t>
      </w:r>
      <w:r>
        <w:t>mm</w:t>
      </w:r>
      <w:r>
        <w:rPr>
          <w:rFonts w:hint="eastAsia"/>
        </w:rPr>
        <w:t>，采用不锈钢制作。拉拔头顶端中心设置螺纹孔，内径</w:t>
      </w:r>
      <w:r>
        <w:t>16</w:t>
      </w:r>
      <w:r>
        <w:rPr>
          <w:rFonts w:hint="eastAsia"/>
        </w:rPr>
        <w:t xml:space="preserve"> </w:t>
      </w:r>
      <w:r>
        <w:t>mm，通过</w:t>
      </w:r>
      <w:r>
        <w:rPr>
          <w:rFonts w:hint="eastAsia"/>
        </w:rPr>
        <w:t>外径</w:t>
      </w:r>
      <w:r>
        <w:t>16</w:t>
      </w:r>
      <w:r>
        <w:rPr>
          <w:rFonts w:hint="eastAsia"/>
        </w:rPr>
        <w:t xml:space="preserve"> </w:t>
      </w:r>
      <w:r>
        <w:t>mm螺栓连接件</w:t>
      </w:r>
      <w:r>
        <w:rPr>
          <w:rFonts w:hint="eastAsia"/>
        </w:rPr>
        <w:t>与</w:t>
      </w:r>
      <w:r>
        <w:t>设备应力加载杆连接</w:t>
      </w:r>
      <w:r>
        <w:rPr>
          <w:rFonts w:hint="eastAsia"/>
        </w:rPr>
        <w:t>；</w:t>
      </w:r>
    </w:p>
    <w:p w14:paraId="29598824">
      <w:pPr>
        <w:pStyle w:val="182"/>
      </w:pPr>
      <w:r>
        <w:t>夹具上下金属板，采用不锈钢</w:t>
      </w:r>
      <w:r>
        <w:rPr>
          <w:rFonts w:hint="eastAsia"/>
        </w:rPr>
        <w:t>制作</w:t>
      </w:r>
      <w:r>
        <w:t>，直径250</w:t>
      </w:r>
      <w:r>
        <w:rPr>
          <w:rFonts w:hint="eastAsia"/>
        </w:rPr>
        <w:t xml:space="preserve"> </w:t>
      </w:r>
      <w:r>
        <w:t>mm</w:t>
      </w:r>
      <w:r>
        <w:rPr>
          <w:rFonts w:hAnsi="宋体"/>
        </w:rPr>
        <w:t>±</w:t>
      </w:r>
      <w:r>
        <w:t>2</w:t>
      </w:r>
      <w:r>
        <w:rPr>
          <w:rFonts w:hint="eastAsia"/>
        </w:rPr>
        <w:t xml:space="preserve"> </w:t>
      </w:r>
      <w:r>
        <w:t>mm，通过4根外径8</w:t>
      </w:r>
      <w:r>
        <w:rPr>
          <w:rFonts w:hint="eastAsia"/>
        </w:rPr>
        <w:t xml:space="preserve"> </w:t>
      </w:r>
      <w:r>
        <w:t>mm螺栓相互连接，下金属板</w:t>
      </w:r>
      <w:r>
        <w:rPr>
          <w:rFonts w:hint="eastAsia"/>
        </w:rPr>
        <w:t>中心设置有螺纹孔，内径</w:t>
      </w:r>
      <w:r>
        <w:t>16</w:t>
      </w:r>
      <w:r>
        <w:rPr>
          <w:rFonts w:hint="eastAsia"/>
        </w:rPr>
        <w:t xml:space="preserve"> </w:t>
      </w:r>
      <w:r>
        <w:t>mm，通过外径16</w:t>
      </w:r>
      <w:r>
        <w:rPr>
          <w:rFonts w:hint="eastAsia"/>
        </w:rPr>
        <w:t xml:space="preserve"> </w:t>
      </w:r>
      <w:r>
        <w:t>mm螺栓与UTM设备载物台连接，上金属板中心设置有开孔，内径102</w:t>
      </w:r>
      <w:r>
        <w:rPr>
          <w:rFonts w:hint="eastAsia"/>
        </w:rPr>
        <w:t xml:space="preserve"> </w:t>
      </w:r>
      <w:r>
        <w:t>mm</w:t>
      </w:r>
      <w:r>
        <w:rPr>
          <w:rFonts w:hAnsi="宋体"/>
        </w:rPr>
        <w:t>±</w:t>
      </w:r>
      <w:r>
        <w:t>2</w:t>
      </w:r>
      <w:r>
        <w:rPr>
          <w:rFonts w:hint="eastAsia"/>
        </w:rPr>
        <w:t xml:space="preserve"> </w:t>
      </w:r>
      <w:r>
        <w:t>mm（与拉拔头直径一致）</w:t>
      </w:r>
      <w:r>
        <w:rPr>
          <w:rFonts w:hint="eastAsia"/>
        </w:rPr>
        <w:t>，便于确保拉拔头、试件中心始终保持在同一垂直线。</w:t>
      </w:r>
    </w:p>
    <w:tbl>
      <w:tblPr>
        <w:tblStyle w:val="27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35"/>
        <w:gridCol w:w="3083"/>
        <w:gridCol w:w="3052"/>
      </w:tblGrid>
      <w:tr w14:paraId="55C78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09" w:type="dxa"/>
            <w:vAlign w:val="center"/>
          </w:tcPr>
          <w:p w14:paraId="6AC8845F">
            <w:pPr>
              <w:widowControl/>
              <w:spacing w:line="240" w:lineRule="auto"/>
              <w:jc w:val="center"/>
              <w:rPr>
                <w:rFonts w:ascii="宋体" w:hAnsi="宋体" w:eastAsia="等线"/>
                <w:kern w:val="0"/>
              </w:rPr>
            </w:pPr>
            <w:r>
              <w:rPr>
                <w:rFonts w:ascii="宋体" w:hAnsi="宋体" w:eastAsia="等线"/>
                <w:kern w:val="0"/>
              </w:rPr>
              <w:drawing>
                <wp:inline distT="0" distB="0" distL="0" distR="0">
                  <wp:extent cx="2044065" cy="1501140"/>
                  <wp:effectExtent l="0" t="0" r="0" b="3810"/>
                  <wp:docPr id="1501228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22858"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73425" cy="1522907"/>
                          </a:xfrm>
                          <a:prstGeom prst="rect">
                            <a:avLst/>
                          </a:prstGeom>
                          <a:noFill/>
                          <a:ln>
                            <a:noFill/>
                          </a:ln>
                        </pic:spPr>
                      </pic:pic>
                    </a:graphicData>
                  </a:graphic>
                </wp:inline>
              </w:drawing>
            </w:r>
          </w:p>
        </w:tc>
        <w:tc>
          <w:tcPr>
            <w:tcW w:w="3209" w:type="dxa"/>
            <w:vAlign w:val="center"/>
          </w:tcPr>
          <w:p w14:paraId="298B32AA">
            <w:pPr>
              <w:widowControl/>
              <w:spacing w:line="240" w:lineRule="auto"/>
              <w:jc w:val="center"/>
              <w:rPr>
                <w:rFonts w:ascii="宋体" w:hAnsi="宋体" w:eastAsia="等线"/>
                <w:kern w:val="0"/>
              </w:rPr>
            </w:pPr>
            <w:r>
              <w:rPr>
                <w:rFonts w:ascii="宋体" w:hAnsi="宋体" w:eastAsia="等线"/>
                <w:kern w:val="0"/>
              </w:rPr>
              <w:drawing>
                <wp:inline distT="0" distB="0" distL="0" distR="0">
                  <wp:extent cx="1676400" cy="1807210"/>
                  <wp:effectExtent l="0" t="0" r="0" b="2540"/>
                  <wp:docPr id="429060923" name="图片 2"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060923" name="图片 2" descr="图示, 工程绘图&#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04588" cy="1837478"/>
                          </a:xfrm>
                          <a:prstGeom prst="rect">
                            <a:avLst/>
                          </a:prstGeom>
                          <a:noFill/>
                          <a:ln>
                            <a:noFill/>
                          </a:ln>
                        </pic:spPr>
                      </pic:pic>
                    </a:graphicData>
                  </a:graphic>
                </wp:inline>
              </w:drawing>
            </w:r>
          </w:p>
        </w:tc>
        <w:tc>
          <w:tcPr>
            <w:tcW w:w="3210" w:type="dxa"/>
            <w:vAlign w:val="center"/>
          </w:tcPr>
          <w:p w14:paraId="5C236ADD">
            <w:pPr>
              <w:widowControl/>
              <w:spacing w:line="240" w:lineRule="auto"/>
              <w:jc w:val="center"/>
              <w:rPr>
                <w:rFonts w:ascii="宋体" w:hAnsi="宋体" w:eastAsia="等线"/>
                <w:kern w:val="0"/>
              </w:rPr>
            </w:pPr>
            <w:r>
              <w:rPr>
                <w:rFonts w:ascii="宋体" w:hAnsi="宋体" w:eastAsia="等线"/>
                <w:kern w:val="0"/>
              </w:rPr>
              <w:drawing>
                <wp:inline distT="0" distB="0" distL="0" distR="0">
                  <wp:extent cx="1609725" cy="1732280"/>
                  <wp:effectExtent l="0" t="0" r="9525" b="1270"/>
                  <wp:docPr id="190054954" name="图片 7" descr="图示, 工程绘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054954" name="图片 7" descr="图示, 工程绘图&#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621053" cy="1744171"/>
                          </a:xfrm>
                          <a:prstGeom prst="rect">
                            <a:avLst/>
                          </a:prstGeom>
                          <a:noFill/>
                          <a:ln>
                            <a:noFill/>
                          </a:ln>
                        </pic:spPr>
                      </pic:pic>
                    </a:graphicData>
                  </a:graphic>
                </wp:inline>
              </w:drawing>
            </w:r>
          </w:p>
        </w:tc>
      </w:tr>
      <w:tr w14:paraId="3D944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209" w:type="dxa"/>
            <w:vAlign w:val="center"/>
          </w:tcPr>
          <w:p w14:paraId="62CFB656">
            <w:pPr>
              <w:widowControl/>
              <w:spacing w:line="240" w:lineRule="auto"/>
              <w:jc w:val="center"/>
              <w:rPr>
                <w:rFonts w:ascii="等线" w:hAnsi="等线" w:eastAsia="等线" w:cs="宋体"/>
                <w:kern w:val="0"/>
              </w:rPr>
            </w:pPr>
            <w:r>
              <w:rPr>
                <w:rFonts w:ascii="宋体" w:hAnsi="宋体" w:eastAsia="等线" w:cs="宋体"/>
                <w:kern w:val="0"/>
                <w:sz w:val="18"/>
                <w:szCs w:val="18"/>
              </w:rPr>
              <w:t>a)拉拔夹具正视图</w:t>
            </w:r>
          </w:p>
        </w:tc>
        <w:tc>
          <w:tcPr>
            <w:tcW w:w="3209" w:type="dxa"/>
            <w:vAlign w:val="center"/>
          </w:tcPr>
          <w:p w14:paraId="5592E4E5">
            <w:pPr>
              <w:widowControl/>
              <w:spacing w:line="240" w:lineRule="auto"/>
              <w:jc w:val="center"/>
              <w:rPr>
                <w:rFonts w:ascii="等线" w:hAnsi="等线" w:eastAsia="等线" w:cs="宋体"/>
                <w:kern w:val="0"/>
              </w:rPr>
            </w:pPr>
            <w:r>
              <w:rPr>
                <w:rFonts w:ascii="宋体" w:hAnsi="宋体" w:eastAsia="等线" w:cs="宋体"/>
                <w:kern w:val="0"/>
                <w:sz w:val="18"/>
                <w:szCs w:val="18"/>
              </w:rPr>
              <w:t>b）拉拔夹具俯视图</w:t>
            </w:r>
          </w:p>
        </w:tc>
        <w:tc>
          <w:tcPr>
            <w:tcW w:w="3210" w:type="dxa"/>
            <w:vAlign w:val="center"/>
          </w:tcPr>
          <w:p w14:paraId="7F64155B">
            <w:pPr>
              <w:widowControl/>
              <w:spacing w:line="240" w:lineRule="auto"/>
              <w:jc w:val="center"/>
              <w:rPr>
                <w:rFonts w:ascii="等线" w:hAnsi="等线" w:eastAsia="等线" w:cs="宋体"/>
                <w:kern w:val="0"/>
              </w:rPr>
            </w:pPr>
            <w:r>
              <w:rPr>
                <w:rFonts w:ascii="宋体" w:hAnsi="宋体" w:eastAsia="等线" w:cs="宋体"/>
                <w:kern w:val="0"/>
                <w:sz w:val="18"/>
                <w:szCs w:val="18"/>
              </w:rPr>
              <w:t>c）拉拔夹具整体结构图</w:t>
            </w:r>
          </w:p>
        </w:tc>
      </w:tr>
    </w:tbl>
    <w:p w14:paraId="72C8186A">
      <w:pPr>
        <w:widowControl/>
        <w:spacing w:before="156" w:beforeLines="50" w:line="240" w:lineRule="auto"/>
        <w:jc w:val="left"/>
        <w:rPr>
          <w:rFonts w:ascii="宋体" w:hAnsi="宋体"/>
          <w:kern w:val="0"/>
          <w:sz w:val="18"/>
          <w:szCs w:val="18"/>
        </w:rPr>
      </w:pPr>
      <w:r>
        <w:rPr>
          <w:rFonts w:hint="eastAsia" w:ascii="宋体" w:hAnsi="宋体"/>
          <w:kern w:val="0"/>
          <w:sz w:val="18"/>
          <w:szCs w:val="18"/>
        </w:rPr>
        <w:t>标引序号说明：</w:t>
      </w:r>
    </w:p>
    <w:p w14:paraId="7B8FF592">
      <w:pPr>
        <w:widowControl/>
        <w:spacing w:before="156" w:beforeLines="50" w:line="240" w:lineRule="auto"/>
        <w:jc w:val="left"/>
        <w:rPr>
          <w:rFonts w:ascii="宋体" w:hAnsi="宋体"/>
          <w:kern w:val="0"/>
          <w:sz w:val="18"/>
          <w:szCs w:val="18"/>
        </w:rPr>
      </w:pPr>
      <w:r>
        <w:rPr>
          <w:rFonts w:hint="eastAsia" w:ascii="宋体" w:hAnsi="宋体"/>
          <w:kern w:val="0"/>
          <w:sz w:val="18"/>
          <w:szCs w:val="18"/>
        </w:rPr>
        <w:t>1</w:t>
      </w:r>
      <w:r>
        <w:rPr>
          <w:rFonts w:ascii="Times New Roman" w:hAnsi="Times New Roman"/>
          <w:kern w:val="0"/>
          <w:sz w:val="18"/>
          <w:szCs w:val="18"/>
        </w:rPr>
        <w:t>——</w:t>
      </w:r>
      <w:r>
        <w:rPr>
          <w:rFonts w:hint="eastAsia" w:ascii="宋体" w:hAnsi="宋体"/>
          <w:kern w:val="0"/>
          <w:sz w:val="18"/>
          <w:szCs w:val="18"/>
        </w:rPr>
        <w:t>拉拔头与力加载杆连接螺栓；</w:t>
      </w:r>
    </w:p>
    <w:p w14:paraId="5CCCD32E">
      <w:pPr>
        <w:widowControl/>
        <w:spacing w:line="240" w:lineRule="auto"/>
        <w:jc w:val="left"/>
        <w:rPr>
          <w:rFonts w:ascii="宋体" w:hAnsi="宋体"/>
          <w:kern w:val="0"/>
          <w:sz w:val="18"/>
          <w:szCs w:val="18"/>
        </w:rPr>
      </w:pPr>
      <w:r>
        <w:rPr>
          <w:rFonts w:hint="eastAsia" w:ascii="宋体" w:hAnsi="宋体"/>
          <w:kern w:val="0"/>
          <w:sz w:val="18"/>
          <w:szCs w:val="18"/>
        </w:rPr>
        <w:t>2</w:t>
      </w:r>
      <w:r>
        <w:rPr>
          <w:rFonts w:ascii="Times New Roman" w:hAnsi="Times New Roman"/>
          <w:kern w:val="0"/>
          <w:sz w:val="18"/>
          <w:szCs w:val="18"/>
        </w:rPr>
        <w:t>——</w:t>
      </w:r>
      <w:r>
        <w:rPr>
          <w:rFonts w:hint="eastAsia" w:ascii="宋体" w:hAnsi="宋体"/>
          <w:kern w:val="0"/>
          <w:sz w:val="18"/>
          <w:szCs w:val="18"/>
        </w:rPr>
        <w:t>拉拔头；</w:t>
      </w:r>
    </w:p>
    <w:p w14:paraId="38CE7057">
      <w:pPr>
        <w:widowControl/>
        <w:spacing w:line="240" w:lineRule="auto"/>
        <w:jc w:val="left"/>
        <w:rPr>
          <w:rFonts w:ascii="宋体" w:hAnsi="宋体"/>
          <w:kern w:val="0"/>
          <w:sz w:val="18"/>
          <w:szCs w:val="18"/>
        </w:rPr>
      </w:pPr>
      <w:r>
        <w:rPr>
          <w:rFonts w:hint="eastAsia" w:ascii="宋体" w:hAnsi="宋体"/>
          <w:kern w:val="0"/>
          <w:sz w:val="18"/>
          <w:szCs w:val="18"/>
        </w:rPr>
        <w:t>3</w:t>
      </w:r>
      <w:r>
        <w:rPr>
          <w:rFonts w:ascii="Times New Roman" w:hAnsi="Times New Roman"/>
          <w:kern w:val="0"/>
          <w:sz w:val="18"/>
          <w:szCs w:val="18"/>
        </w:rPr>
        <w:t>——</w:t>
      </w:r>
      <w:r>
        <w:rPr>
          <w:rFonts w:hint="eastAsia" w:ascii="宋体" w:hAnsi="宋体"/>
          <w:kern w:val="0"/>
          <w:sz w:val="18"/>
          <w:szCs w:val="18"/>
        </w:rPr>
        <w:t>上金属板；</w:t>
      </w:r>
    </w:p>
    <w:p w14:paraId="62B89145">
      <w:pPr>
        <w:widowControl/>
        <w:spacing w:line="240" w:lineRule="auto"/>
        <w:jc w:val="left"/>
        <w:rPr>
          <w:rFonts w:ascii="宋体" w:hAnsi="宋体"/>
          <w:kern w:val="0"/>
          <w:sz w:val="18"/>
          <w:szCs w:val="18"/>
        </w:rPr>
      </w:pPr>
      <w:r>
        <w:rPr>
          <w:rFonts w:hint="eastAsia" w:ascii="宋体" w:hAnsi="宋体"/>
          <w:kern w:val="0"/>
          <w:sz w:val="18"/>
          <w:szCs w:val="18"/>
        </w:rPr>
        <w:t>4</w:t>
      </w:r>
      <w:r>
        <w:rPr>
          <w:rFonts w:ascii="Times New Roman" w:hAnsi="Times New Roman"/>
          <w:kern w:val="0"/>
          <w:sz w:val="18"/>
          <w:szCs w:val="18"/>
        </w:rPr>
        <w:t>——</w:t>
      </w:r>
      <w:r>
        <w:rPr>
          <w:rFonts w:hint="eastAsia" w:ascii="宋体" w:hAnsi="宋体"/>
          <w:kern w:val="0"/>
          <w:sz w:val="18"/>
          <w:szCs w:val="18"/>
        </w:rPr>
        <w:t>连接螺栓；</w:t>
      </w:r>
    </w:p>
    <w:p w14:paraId="5DA9F1D6">
      <w:pPr>
        <w:widowControl/>
        <w:spacing w:line="240" w:lineRule="auto"/>
        <w:jc w:val="left"/>
        <w:rPr>
          <w:rFonts w:ascii="宋体" w:hAnsi="宋体"/>
          <w:kern w:val="0"/>
          <w:sz w:val="18"/>
          <w:szCs w:val="18"/>
        </w:rPr>
      </w:pPr>
      <w:r>
        <w:rPr>
          <w:rFonts w:hint="eastAsia" w:ascii="宋体" w:hAnsi="宋体"/>
          <w:kern w:val="0"/>
          <w:sz w:val="18"/>
          <w:szCs w:val="18"/>
        </w:rPr>
        <w:t>5</w:t>
      </w:r>
      <w:r>
        <w:rPr>
          <w:rFonts w:ascii="Times New Roman" w:hAnsi="Times New Roman"/>
          <w:kern w:val="0"/>
          <w:sz w:val="18"/>
          <w:szCs w:val="18"/>
        </w:rPr>
        <w:t>——</w:t>
      </w:r>
      <w:r>
        <w:rPr>
          <w:rFonts w:hint="eastAsia" w:ascii="宋体" w:hAnsi="宋体"/>
          <w:kern w:val="0"/>
          <w:sz w:val="18"/>
          <w:szCs w:val="18"/>
        </w:rPr>
        <w:t>下金属板；</w:t>
      </w:r>
    </w:p>
    <w:p w14:paraId="5BAF7C8D">
      <w:pPr>
        <w:widowControl/>
        <w:spacing w:line="240" w:lineRule="auto"/>
        <w:jc w:val="left"/>
        <w:rPr>
          <w:rFonts w:ascii="宋体" w:hAnsi="宋体"/>
          <w:kern w:val="0"/>
          <w:sz w:val="18"/>
          <w:szCs w:val="18"/>
        </w:rPr>
      </w:pPr>
      <w:r>
        <w:rPr>
          <w:rFonts w:hint="eastAsia" w:ascii="宋体" w:hAnsi="宋体"/>
          <w:kern w:val="0"/>
          <w:sz w:val="18"/>
          <w:szCs w:val="18"/>
        </w:rPr>
        <w:t>6</w:t>
      </w:r>
      <w:r>
        <w:rPr>
          <w:rFonts w:ascii="Times New Roman" w:hAnsi="Times New Roman"/>
          <w:kern w:val="0"/>
          <w:sz w:val="18"/>
          <w:szCs w:val="18"/>
        </w:rPr>
        <w:t>——</w:t>
      </w:r>
      <w:r>
        <w:rPr>
          <w:rFonts w:hint="eastAsia" w:ascii="宋体" w:hAnsi="宋体"/>
          <w:kern w:val="0"/>
          <w:sz w:val="18"/>
          <w:szCs w:val="18"/>
        </w:rPr>
        <w:t>试件。</w:t>
      </w:r>
    </w:p>
    <w:p w14:paraId="764A16F2">
      <w:pPr>
        <w:widowControl/>
        <w:spacing w:before="156" w:beforeLines="50" w:after="156" w:afterLines="50"/>
        <w:jc w:val="center"/>
        <w:rPr>
          <w:rFonts w:ascii="黑体" w:hAnsi="黑体" w:eastAsia="黑体"/>
          <w:kern w:val="0"/>
        </w:rPr>
      </w:pPr>
      <w:r>
        <w:rPr>
          <w:rFonts w:hint="eastAsia" w:ascii="黑体" w:hAnsi="黑体" w:eastAsia="黑体"/>
          <w:kern w:val="0"/>
        </w:rPr>
        <w:t>图</w:t>
      </w:r>
      <w:r>
        <w:rPr>
          <w:rFonts w:ascii="黑体" w:hAnsi="黑体" w:eastAsia="黑体"/>
          <w:kern w:val="0"/>
        </w:rPr>
        <w:t>D.1</w:t>
      </w:r>
      <w:r>
        <w:rPr>
          <w:rFonts w:hint="eastAsia" w:ascii="黑体" w:hAnsi="黑体" w:eastAsia="黑体"/>
          <w:kern w:val="0"/>
        </w:rPr>
        <w:t>拉拔</w:t>
      </w:r>
      <w:r>
        <w:rPr>
          <w:rFonts w:ascii="黑体" w:hAnsi="黑体" w:eastAsia="黑体"/>
          <w:kern w:val="0"/>
        </w:rPr>
        <w:t>夹具</w:t>
      </w:r>
      <w:r>
        <w:rPr>
          <w:rFonts w:hint="eastAsia" w:ascii="黑体" w:hAnsi="黑体" w:eastAsia="黑体"/>
          <w:kern w:val="0"/>
        </w:rPr>
        <w:t>结构图</w:t>
      </w:r>
    </w:p>
    <w:p w14:paraId="135F2712">
      <w:pPr>
        <w:pStyle w:val="89"/>
        <w:spacing w:before="156" w:after="156"/>
        <w:rPr>
          <w:rFonts w:ascii="宋体" w:hAnsi="宋体" w:eastAsia="宋体"/>
        </w:rPr>
      </w:pPr>
      <w:r>
        <w:rPr>
          <w:rFonts w:hint="eastAsia" w:ascii="宋体" w:hAnsi="宋体" w:eastAsia="宋体"/>
        </w:rPr>
        <w:t>量尺：钢尺，精确至1mm；游标卡尺，精确至0</w:t>
      </w:r>
      <w:r>
        <w:rPr>
          <w:rFonts w:ascii="宋体" w:hAnsi="宋体" w:eastAsia="宋体"/>
        </w:rPr>
        <w:t>.02mm</w:t>
      </w:r>
      <w:r>
        <w:rPr>
          <w:rFonts w:hint="eastAsia" w:ascii="宋体" w:hAnsi="宋体" w:eastAsia="宋体"/>
        </w:rPr>
        <w:t>。</w:t>
      </w:r>
    </w:p>
    <w:p w14:paraId="446A9968">
      <w:pPr>
        <w:pStyle w:val="89"/>
        <w:spacing w:before="156" w:after="156"/>
        <w:rPr>
          <w:rFonts w:ascii="宋体" w:hAnsi="宋体" w:eastAsia="宋体"/>
        </w:rPr>
      </w:pPr>
      <w:r>
        <w:rPr>
          <w:rFonts w:hint="eastAsia" w:ascii="宋体" w:hAnsi="宋体" w:eastAsia="宋体"/>
        </w:rPr>
        <w:t>粘结剂：用于拉头与试件表面的粘结，如快凝性环氧树脂等。</w:t>
      </w:r>
    </w:p>
    <w:p w14:paraId="488C09A4">
      <w:pPr>
        <w:pStyle w:val="89"/>
        <w:spacing w:before="156" w:after="156"/>
        <w:rPr>
          <w:rFonts w:ascii="宋体" w:hAnsi="宋体" w:eastAsia="宋体"/>
        </w:rPr>
      </w:pPr>
      <w:r>
        <w:rPr>
          <w:rFonts w:hint="eastAsia" w:ascii="宋体" w:hAnsi="宋体" w:eastAsia="宋体"/>
        </w:rPr>
        <w:t>取芯机：钻头</w:t>
      </w:r>
      <w:r>
        <w:rPr>
          <w:rFonts w:ascii="宋体" w:hAnsi="宋体" w:eastAsia="宋体"/>
        </w:rPr>
        <w:t>直径为100</w:t>
      </w:r>
      <w:r>
        <w:rPr>
          <w:rFonts w:hint="eastAsia" w:ascii="宋体" w:hAnsi="宋体" w:eastAsia="宋体"/>
        </w:rPr>
        <w:t xml:space="preserve"> </w:t>
      </w:r>
      <w:r>
        <w:rPr>
          <w:rFonts w:ascii="宋体" w:hAnsi="宋体" w:eastAsia="宋体"/>
        </w:rPr>
        <w:t>mm</w:t>
      </w:r>
      <w:r>
        <w:rPr>
          <w:rFonts w:hint="eastAsia" w:ascii="宋体" w:hAnsi="宋体" w:eastAsia="宋体"/>
        </w:rPr>
        <w:t>、</w:t>
      </w:r>
      <w:r>
        <w:rPr>
          <w:rFonts w:ascii="宋体" w:hAnsi="宋体" w:eastAsia="宋体"/>
        </w:rPr>
        <w:t>150</w:t>
      </w:r>
      <w:r>
        <w:rPr>
          <w:rFonts w:hint="eastAsia" w:ascii="宋体" w:hAnsi="宋体" w:eastAsia="宋体"/>
        </w:rPr>
        <w:t xml:space="preserve"> </w:t>
      </w:r>
      <w:r>
        <w:rPr>
          <w:rFonts w:ascii="宋体" w:hAnsi="宋体" w:eastAsia="宋体"/>
        </w:rPr>
        <w:t>mm</w:t>
      </w:r>
      <w:r>
        <w:rPr>
          <w:rFonts w:hint="eastAsia" w:ascii="宋体" w:hAnsi="宋体" w:eastAsia="宋体"/>
        </w:rPr>
        <w:t>。</w:t>
      </w:r>
    </w:p>
    <w:p w14:paraId="3F5AB0C5">
      <w:pPr>
        <w:pStyle w:val="89"/>
        <w:spacing w:before="156" w:after="156"/>
        <w:rPr>
          <w:rFonts w:ascii="宋体" w:hAnsi="宋体" w:eastAsia="宋体"/>
        </w:rPr>
      </w:pPr>
      <w:r>
        <w:rPr>
          <w:rFonts w:hint="eastAsia" w:ascii="宋体" w:hAnsi="宋体" w:eastAsia="宋体"/>
        </w:rPr>
        <w:t>其他：恒温箱、刮刀等。</w:t>
      </w:r>
    </w:p>
    <w:p w14:paraId="153C4764">
      <w:pPr>
        <w:pStyle w:val="87"/>
        <w:spacing w:before="156" w:after="156"/>
      </w:pPr>
      <w:bookmarkStart w:id="444" w:name="_Toc183897582"/>
      <w:r>
        <w:rPr>
          <w:rFonts w:hint="eastAsia"/>
        </w:rPr>
        <w:t>准备工作</w:t>
      </w:r>
      <w:bookmarkEnd w:id="444"/>
    </w:p>
    <w:p w14:paraId="37F86B3B">
      <w:pPr>
        <w:pStyle w:val="89"/>
        <w:spacing w:before="156" w:after="156"/>
        <w:rPr>
          <w:rFonts w:hint="eastAsia" w:ascii="宋体" w:hAnsi="宋体" w:eastAsia="宋体"/>
          <w:kern w:val="0"/>
        </w:rPr>
      </w:pPr>
      <w:r>
        <w:rPr>
          <w:rFonts w:hint="eastAsia" w:ascii="宋体" w:hAnsi="宋体" w:eastAsia="宋体"/>
          <w:kern w:val="0"/>
        </w:rPr>
        <w:t>试件的准备分室内成型法与现场取芯法，对于室内成型方法步骤如下：</w:t>
      </w:r>
    </w:p>
    <w:p w14:paraId="503682EF">
      <w:pPr>
        <w:pStyle w:val="182"/>
        <w:numPr>
          <w:ilvl w:val="0"/>
          <w:numId w:val="37"/>
        </w:numPr>
        <w:rPr>
          <w:rFonts w:hAnsi="宋体"/>
        </w:rPr>
      </w:pPr>
      <w:r>
        <w:rPr>
          <w:rFonts w:hint="eastAsia" w:hAnsi="宋体"/>
        </w:rPr>
        <w:t>按照超薄罩面下承层沥青混合料级配与超薄罩面用沥青混合料级配进行马歇尔击实试验，试件尺寸满足φ</w:t>
      </w:r>
      <w:r>
        <w:rPr>
          <w:rFonts w:hAnsi="宋体"/>
        </w:rPr>
        <w:t>101.5</w:t>
      </w:r>
      <w:r>
        <w:rPr>
          <w:rFonts w:hint="eastAsia" w:hAnsi="宋体"/>
        </w:rPr>
        <w:t xml:space="preserve"> mm±</w:t>
      </w:r>
      <w:r>
        <w:rPr>
          <w:rFonts w:hAnsi="宋体"/>
        </w:rPr>
        <w:t>0.2</w:t>
      </w:r>
      <w:r>
        <w:rPr>
          <w:rFonts w:hint="eastAsia" w:hAnsi="宋体"/>
        </w:rPr>
        <w:t xml:space="preserve"> mm，高度</w:t>
      </w:r>
      <w:r>
        <w:rPr>
          <w:rFonts w:hAnsi="宋体"/>
        </w:rPr>
        <w:t>63.5</w:t>
      </w:r>
      <w:r>
        <w:rPr>
          <w:rFonts w:hint="eastAsia" w:hAnsi="宋体"/>
        </w:rPr>
        <w:t xml:space="preserve"> mm±</w:t>
      </w:r>
      <w:r>
        <w:rPr>
          <w:rFonts w:hAnsi="宋体"/>
        </w:rPr>
        <w:t>1.3</w:t>
      </w:r>
      <w:r>
        <w:rPr>
          <w:rFonts w:hint="eastAsia" w:hAnsi="宋体"/>
        </w:rPr>
        <w:t xml:space="preserve"> mm要求，将试件按照路面设计厚度，进行切割，确保试件有一面具有路面纹理状态</w:t>
      </w:r>
      <w:bookmarkStart w:id="466" w:name="_GoBack"/>
      <w:bookmarkEnd w:id="466"/>
      <w:r>
        <w:rPr>
          <w:rFonts w:hint="eastAsia" w:hAnsi="宋体"/>
        </w:rPr>
        <w:t>。每组至少成型3个试样，晾干，供试验用；</w:t>
      </w:r>
    </w:p>
    <w:p w14:paraId="5649F61F">
      <w:pPr>
        <w:pStyle w:val="182"/>
        <w:rPr>
          <w:rFonts w:hAnsi="宋体"/>
        </w:rPr>
      </w:pPr>
      <w:r>
        <w:rPr>
          <w:rFonts w:hint="eastAsia" w:hAnsi="宋体"/>
        </w:rPr>
        <w:t>将试件放入105℃烘箱中预热0.5 h，当采用高黏韧性改性沥青做粘结层时，将其加热至流动状态（烘箱1</w:t>
      </w:r>
      <w:r>
        <w:rPr>
          <w:rFonts w:hAnsi="宋体"/>
        </w:rPr>
        <w:t>85</w:t>
      </w:r>
      <w:r>
        <w:rPr>
          <w:rFonts w:hint="eastAsia" w:hAnsi="宋体"/>
        </w:rPr>
        <w:t>℃-</w:t>
      </w:r>
      <w:r>
        <w:rPr>
          <w:rFonts w:hAnsi="宋体"/>
        </w:rPr>
        <w:t>190</w:t>
      </w:r>
      <w:r>
        <w:rPr>
          <w:rFonts w:hint="eastAsia" w:hAnsi="宋体"/>
        </w:rPr>
        <w:t>℃下保温1</w:t>
      </w:r>
      <w:r>
        <w:rPr>
          <w:rFonts w:hAnsi="宋体"/>
        </w:rPr>
        <w:t>5</w:t>
      </w:r>
      <w:r>
        <w:rPr>
          <w:rFonts w:hint="eastAsia" w:hAnsi="宋体"/>
        </w:rPr>
        <w:t xml:space="preserve"> min-</w:t>
      </w:r>
      <w:r>
        <w:rPr>
          <w:rFonts w:hAnsi="宋体"/>
        </w:rPr>
        <w:t>30</w:t>
      </w:r>
      <w:r>
        <w:rPr>
          <w:rFonts w:hint="eastAsia" w:hAnsi="宋体"/>
        </w:rPr>
        <w:t xml:space="preserve"> </w:t>
      </w:r>
      <w:r>
        <w:rPr>
          <w:rFonts w:hAnsi="宋体"/>
        </w:rPr>
        <w:t>min</w:t>
      </w:r>
      <w:r>
        <w:rPr>
          <w:rFonts w:hint="eastAsia" w:hAnsi="宋体"/>
        </w:rPr>
        <w:t>）。然后按照设计用量换算后将粘结层材料均匀快速涂覆于与界面处。采用压力机稍加竖向压力使三者完全贴合，力度大小以粘结层扩展至上下试件界面处外缘但未出现挤出为宜；</w:t>
      </w:r>
    </w:p>
    <w:p w14:paraId="4C9CD287">
      <w:pPr>
        <w:pStyle w:val="182"/>
        <w:rPr>
          <w:rFonts w:hAnsi="宋体"/>
        </w:rPr>
      </w:pPr>
      <w:r>
        <w:rPr>
          <w:rFonts w:hAnsi="宋体"/>
        </w:rPr>
        <w:t>待粘结层材料完全冷却后，清洗、干燥</w:t>
      </w:r>
      <w:r>
        <w:rPr>
          <w:rFonts w:hint="eastAsia" w:hAnsi="宋体"/>
        </w:rPr>
        <w:t>试件表面，将拉头底部涂布一层粘结剂，并快速粘附在试件表面，在夹具下金属板涂布一层粘结剂，将试件快速粘附在下金属板表面；养生并完全固化后，将拉拔夹具和试件一起放置于（25±1）℃的恒温箱中保温4 h后备用。当选择其他温度时，应在报告中注明。</w:t>
      </w:r>
    </w:p>
    <w:p w14:paraId="6E96F8DF">
      <w:pPr>
        <w:pStyle w:val="182"/>
        <w:numPr>
          <w:ilvl w:val="0"/>
          <w:numId w:val="0"/>
        </w:numPr>
        <w:spacing w:before="156" w:after="156"/>
        <w:ind w:left="851"/>
        <w:rPr>
          <w:rFonts w:hAnsi="宋体"/>
        </w:rPr>
      </w:pPr>
      <w:r>
        <w:rPr>
          <w:rFonts w:hAnsi="宋体"/>
        </w:rPr>
        <w:t>对于</w:t>
      </w:r>
      <w:r>
        <w:rPr>
          <w:rFonts w:hint="eastAsia" w:hAnsi="宋体"/>
        </w:rPr>
        <w:t>现场取芯方法步骤如下：</w:t>
      </w:r>
    </w:p>
    <w:p w14:paraId="30D68251">
      <w:pPr>
        <w:pStyle w:val="182"/>
        <w:numPr>
          <w:ilvl w:val="0"/>
          <w:numId w:val="38"/>
        </w:numPr>
        <w:rPr>
          <w:rFonts w:hAnsi="宋体"/>
        </w:rPr>
      </w:pPr>
      <w:r>
        <w:rPr>
          <w:rFonts w:hint="eastAsia" w:hAnsi="宋体"/>
        </w:rPr>
        <w:t>在路面达到开放交通条件后，采用钻芯机现场钻芯取样，需钻透原路面上面层，获取完整芯样，试件直径为100 mm±2 mm或150 mm±2 mm；</w:t>
      </w:r>
    </w:p>
    <w:p w14:paraId="7F75FA26">
      <w:pPr>
        <w:pStyle w:val="182"/>
        <w:spacing w:before="156" w:after="156"/>
        <w:rPr>
          <w:rFonts w:hAnsi="宋体"/>
        </w:rPr>
      </w:pPr>
      <w:r>
        <w:rPr>
          <w:rFonts w:hint="eastAsia" w:hAnsi="宋体"/>
        </w:rPr>
        <w:t>参照标准规定的取芯检测频率进行钻芯取样，钻芯位置间距不小于200 mm。</w:t>
      </w:r>
    </w:p>
    <w:p w14:paraId="5AE0173D">
      <w:pPr>
        <w:pStyle w:val="89"/>
        <w:spacing w:before="156" w:after="156"/>
        <w:rPr>
          <w:rFonts w:ascii="宋体" w:hAnsi="宋体" w:eastAsia="宋体"/>
        </w:rPr>
      </w:pPr>
      <w:r>
        <w:rPr>
          <w:rFonts w:hint="eastAsia" w:ascii="宋体" w:hAnsi="宋体" w:eastAsia="宋体"/>
        </w:rPr>
        <w:t>对芯样进行表面清洗、干燥2</w:t>
      </w:r>
      <w:r>
        <w:rPr>
          <w:rFonts w:ascii="宋体" w:hAnsi="宋体" w:eastAsia="宋体"/>
        </w:rPr>
        <w:t>4</w:t>
      </w:r>
      <w:r>
        <w:rPr>
          <w:rFonts w:hint="eastAsia" w:ascii="宋体" w:hAnsi="宋体" w:eastAsia="宋体"/>
        </w:rPr>
        <w:t xml:space="preserve"> </w:t>
      </w:r>
      <w:r>
        <w:rPr>
          <w:rFonts w:ascii="宋体" w:hAnsi="宋体" w:eastAsia="宋体"/>
        </w:rPr>
        <w:t>h</w:t>
      </w:r>
      <w:r>
        <w:rPr>
          <w:rFonts w:hint="eastAsia" w:ascii="宋体" w:hAnsi="宋体" w:eastAsia="宋体"/>
        </w:rPr>
        <w:t>，供试验用。</w:t>
      </w:r>
    </w:p>
    <w:p w14:paraId="61E86B21">
      <w:pPr>
        <w:pStyle w:val="89"/>
        <w:spacing w:before="156" w:after="156"/>
        <w:rPr>
          <w:rFonts w:ascii="宋体" w:hAnsi="宋体" w:eastAsia="宋体"/>
        </w:rPr>
      </w:pPr>
      <w:r>
        <w:rPr>
          <w:rFonts w:hint="eastAsia" w:ascii="宋体" w:hAnsi="宋体" w:eastAsia="宋体"/>
        </w:rPr>
        <w:t>采用游标卡尺测量试件直径，准确至0.1 mm。</w:t>
      </w:r>
    </w:p>
    <w:p w14:paraId="2C62C760">
      <w:pPr>
        <w:pStyle w:val="89"/>
        <w:spacing w:before="156" w:after="156"/>
        <w:rPr>
          <w:rFonts w:ascii="宋体" w:hAnsi="宋体" w:eastAsia="宋体"/>
          <w:kern w:val="0"/>
        </w:rPr>
      </w:pPr>
      <w:r>
        <w:rPr>
          <w:rFonts w:ascii="宋体" w:hAnsi="宋体" w:eastAsia="宋体"/>
          <w:kern w:val="0"/>
        </w:rPr>
        <w:t>当试件直径为</w:t>
      </w:r>
      <w:r>
        <w:rPr>
          <w:rFonts w:hint="eastAsia" w:ascii="宋体" w:hAnsi="宋体" w:eastAsia="宋体"/>
          <w:kern w:val="0"/>
        </w:rPr>
        <w:t>100 mm±2 mm时，参照室内成型的标准规定进行试件准备。</w:t>
      </w:r>
    </w:p>
    <w:p w14:paraId="6487876A">
      <w:pPr>
        <w:pStyle w:val="89"/>
        <w:spacing w:before="156" w:after="156"/>
        <w:rPr>
          <w:rFonts w:ascii="宋体" w:hAnsi="宋体" w:eastAsia="宋体"/>
          <w:kern w:val="0"/>
        </w:rPr>
      </w:pPr>
      <w:r>
        <w:rPr>
          <w:rFonts w:hint="eastAsia" w:ascii="宋体" w:hAnsi="宋体" w:eastAsia="宋体"/>
          <w:kern w:val="0"/>
        </w:rPr>
        <w:t>当</w:t>
      </w:r>
      <w:r>
        <w:rPr>
          <w:rFonts w:ascii="宋体" w:hAnsi="宋体" w:eastAsia="宋体"/>
          <w:kern w:val="0"/>
        </w:rPr>
        <w:t>试件直径为15</w:t>
      </w:r>
      <w:r>
        <w:rPr>
          <w:rFonts w:hint="eastAsia" w:ascii="宋体" w:hAnsi="宋体" w:eastAsia="宋体"/>
          <w:kern w:val="0"/>
        </w:rPr>
        <w:t>0 mm±2 mm时，需用取芯机在试件表面钻出一个环槽，内径为100±2mm，深度至原路面上面层表面10mm以下。然后清理环槽内碎片，用游标卡尺实际测量环槽内径，准确至 0.1mm。清洗、干燥芯样表面后，在拉头底部涂布一层粘结剂，注意粘结剂不要进入环槽，养生并完全固化后，准备下一步试验。注意夹具下金属板不需要涂布一层粘结剂。</w:t>
      </w:r>
    </w:p>
    <w:p w14:paraId="3E62C9AC">
      <w:pPr>
        <w:pStyle w:val="89"/>
        <w:spacing w:before="156" w:after="156"/>
        <w:rPr>
          <w:rFonts w:ascii="宋体" w:hAnsi="宋体" w:eastAsia="宋体"/>
        </w:rPr>
      </w:pPr>
      <w:r>
        <w:rPr>
          <w:rFonts w:hint="eastAsia" w:ascii="宋体" w:hAnsi="宋体" w:eastAsia="宋体"/>
        </w:rPr>
        <w:t>将拉拔夹具和准备好的试件一起放置于（2</w:t>
      </w:r>
      <w:r>
        <w:rPr>
          <w:rFonts w:ascii="宋体" w:hAnsi="宋体" w:eastAsia="宋体"/>
        </w:rPr>
        <w:t>5</w:t>
      </w:r>
      <w:r>
        <w:rPr>
          <w:rFonts w:hint="eastAsia" w:ascii="宋体" w:hAnsi="宋体" w:eastAsia="宋体"/>
        </w:rPr>
        <w:t>±</w:t>
      </w:r>
      <w:r>
        <w:rPr>
          <w:rFonts w:ascii="宋体" w:hAnsi="宋体" w:eastAsia="宋体"/>
        </w:rPr>
        <w:t>1</w:t>
      </w:r>
      <w:r>
        <w:rPr>
          <w:rFonts w:hint="eastAsia" w:ascii="宋体" w:hAnsi="宋体" w:eastAsia="宋体"/>
        </w:rPr>
        <w:t>）℃的恒温箱中保温</w:t>
      </w:r>
      <w:r>
        <w:rPr>
          <w:rFonts w:ascii="宋体" w:hAnsi="宋体" w:eastAsia="宋体"/>
        </w:rPr>
        <w:t>4h</w:t>
      </w:r>
      <w:r>
        <w:rPr>
          <w:rFonts w:hint="eastAsia" w:ascii="宋体" w:hAnsi="宋体" w:eastAsia="宋体"/>
        </w:rPr>
        <w:t>后备用。当选择其他温度时，应在报告中注明。</w:t>
      </w:r>
    </w:p>
    <w:p w14:paraId="6EDF8EFE">
      <w:pPr>
        <w:pStyle w:val="87"/>
        <w:spacing w:before="156" w:after="156"/>
      </w:pPr>
      <w:bookmarkStart w:id="445" w:name="_Toc183897583"/>
      <w:bookmarkStart w:id="446" w:name="_Toc109140538"/>
      <w:r>
        <w:t>试验方法</w:t>
      </w:r>
      <w:bookmarkEnd w:id="445"/>
      <w:bookmarkEnd w:id="446"/>
    </w:p>
    <w:p w14:paraId="117D995E">
      <w:pPr>
        <w:pStyle w:val="89"/>
        <w:spacing w:before="156" w:after="156"/>
        <w:rPr>
          <w:rFonts w:ascii="宋体" w:hAnsi="宋体" w:eastAsia="宋体"/>
        </w:rPr>
      </w:pPr>
      <w:r>
        <w:rPr>
          <w:rFonts w:hint="eastAsia" w:ascii="宋体" w:hAnsi="宋体" w:eastAsia="宋体"/>
        </w:rPr>
        <w:t>将试件从恒温箱中取出，迅速完成与</w:t>
      </w:r>
      <w:r>
        <w:rPr>
          <w:rFonts w:ascii="宋体" w:hAnsi="宋体" w:eastAsia="宋体"/>
        </w:rPr>
        <w:t>应力加载杆、底部载物台</w:t>
      </w:r>
      <w:r>
        <w:rPr>
          <w:rFonts w:hint="eastAsia" w:ascii="宋体" w:hAnsi="宋体" w:eastAsia="宋体"/>
        </w:rPr>
        <w:t>的安装。</w:t>
      </w:r>
    </w:p>
    <w:p w14:paraId="1A715EA0">
      <w:pPr>
        <w:pStyle w:val="89"/>
        <w:spacing w:before="156" w:after="156"/>
        <w:rPr>
          <w:rFonts w:ascii="宋体" w:hAnsi="宋体" w:eastAsia="宋体"/>
        </w:rPr>
      </w:pPr>
      <w:r>
        <w:rPr>
          <w:rFonts w:hint="eastAsia" w:ascii="宋体" w:hAnsi="宋体" w:eastAsia="宋体"/>
        </w:rPr>
        <w:t>启动</w:t>
      </w:r>
      <w:r>
        <w:rPr>
          <w:rFonts w:ascii="宋体" w:hAnsi="宋体" w:eastAsia="宋体"/>
        </w:rPr>
        <w:t>应力应变模块，</w:t>
      </w:r>
      <w:r>
        <w:rPr>
          <w:rFonts w:hint="eastAsia" w:ascii="宋体" w:hAnsi="宋体" w:eastAsia="宋体"/>
        </w:rPr>
        <w:t>试验箱温度设置为25℃，待达到设定温度后，</w:t>
      </w:r>
      <w:r>
        <w:rPr>
          <w:rFonts w:ascii="宋体" w:hAnsi="宋体" w:eastAsia="宋体"/>
        </w:rPr>
        <w:t>选择拉伸（分离模式）</w:t>
      </w:r>
      <w:r>
        <w:rPr>
          <w:rFonts w:hint="eastAsia" w:ascii="宋体" w:hAnsi="宋体" w:eastAsia="宋体"/>
        </w:rPr>
        <w:t>进行拉拔测试，拉伸速率设定为1</w:t>
      </w:r>
      <w:r>
        <w:rPr>
          <w:rFonts w:ascii="宋体" w:hAnsi="宋体" w:eastAsia="宋体"/>
        </w:rPr>
        <w:t>0</w:t>
      </w:r>
      <w:r>
        <w:rPr>
          <w:rFonts w:hint="eastAsia" w:ascii="宋体" w:hAnsi="宋体" w:eastAsia="宋体"/>
        </w:rPr>
        <w:t xml:space="preserve"> </w:t>
      </w:r>
      <w:r>
        <w:rPr>
          <w:rFonts w:ascii="宋体" w:hAnsi="宋体" w:eastAsia="宋体"/>
          <w:kern w:val="0"/>
          <w:szCs w:val="21"/>
        </w:rPr>
        <w:t>mm</w:t>
      </w:r>
      <w:r>
        <w:rPr>
          <w:rFonts w:hint="eastAsia" w:ascii="宋体" w:hAnsi="宋体" w:eastAsia="宋体"/>
        </w:rPr>
        <w:t>/</w:t>
      </w:r>
      <w:r>
        <w:rPr>
          <w:rFonts w:ascii="宋体" w:hAnsi="宋体" w:eastAsia="宋体"/>
        </w:rPr>
        <w:t>min</w:t>
      </w:r>
      <w:r>
        <w:rPr>
          <w:rFonts w:hint="eastAsia" w:ascii="宋体" w:hAnsi="宋体" w:eastAsia="宋体"/>
        </w:rPr>
        <w:t>±</w:t>
      </w:r>
      <w:r>
        <w:rPr>
          <w:rFonts w:ascii="宋体" w:hAnsi="宋体" w:eastAsia="宋体"/>
        </w:rPr>
        <w:t>2</w:t>
      </w:r>
      <w:r>
        <w:rPr>
          <w:rFonts w:hint="eastAsia" w:ascii="宋体" w:hAnsi="宋体" w:eastAsia="宋体"/>
        </w:rPr>
        <w:t xml:space="preserve"> m</w:t>
      </w:r>
      <w:r>
        <w:rPr>
          <w:rFonts w:ascii="宋体" w:hAnsi="宋体" w:eastAsia="宋体"/>
        </w:rPr>
        <w:t>m</w:t>
      </w:r>
      <w:r>
        <w:rPr>
          <w:rFonts w:hint="eastAsia" w:ascii="宋体" w:hAnsi="宋体" w:eastAsia="宋体"/>
        </w:rPr>
        <w:t>/</w:t>
      </w:r>
      <w:r>
        <w:rPr>
          <w:rFonts w:ascii="宋体" w:hAnsi="宋体" w:eastAsia="宋体"/>
        </w:rPr>
        <w:t>min</w:t>
      </w:r>
      <w:r>
        <w:rPr>
          <w:rFonts w:hint="eastAsia" w:ascii="宋体" w:hAnsi="宋体" w:eastAsia="宋体"/>
        </w:rPr>
        <w:t>，当选择其他速率时，应在报告中注明。</w:t>
      </w:r>
    </w:p>
    <w:p w14:paraId="0A47F1CD">
      <w:pPr>
        <w:pStyle w:val="89"/>
        <w:spacing w:before="156" w:after="156"/>
        <w:rPr>
          <w:rFonts w:ascii="宋体" w:hAnsi="宋体" w:eastAsia="宋体"/>
        </w:rPr>
      </w:pPr>
      <w:r>
        <w:rPr>
          <w:rFonts w:hint="eastAsia" w:ascii="宋体" w:hAnsi="宋体" w:eastAsia="宋体"/>
        </w:rPr>
        <w:t>试件破坏时，</w:t>
      </w:r>
      <w:r>
        <w:rPr>
          <w:rFonts w:ascii="宋体" w:hAnsi="宋体" w:eastAsia="宋体"/>
        </w:rPr>
        <w:t>记录最大拉力F，准确至</w:t>
      </w:r>
      <w:r>
        <w:rPr>
          <w:rFonts w:hint="eastAsia" w:ascii="宋体" w:hAnsi="宋体" w:eastAsia="宋体"/>
        </w:rPr>
        <w:t>0</w:t>
      </w:r>
      <w:r>
        <w:rPr>
          <w:rFonts w:ascii="宋体" w:hAnsi="宋体" w:eastAsia="宋体"/>
        </w:rPr>
        <w:t>.1</w:t>
      </w:r>
      <w:r>
        <w:rPr>
          <w:rFonts w:hint="eastAsia" w:ascii="宋体" w:hAnsi="宋体" w:eastAsia="宋体"/>
        </w:rPr>
        <w:t xml:space="preserve"> </w:t>
      </w:r>
      <w:r>
        <w:rPr>
          <w:rFonts w:ascii="宋体" w:hAnsi="宋体" w:eastAsia="宋体"/>
        </w:rPr>
        <w:t>N。</w:t>
      </w:r>
      <w:r>
        <w:rPr>
          <w:rFonts w:hint="eastAsia" w:ascii="宋体" w:hAnsi="宋体" w:eastAsia="宋体"/>
        </w:rPr>
        <w:t>注意观察断裂面状况，在报告中注明。</w:t>
      </w:r>
    </w:p>
    <w:p w14:paraId="0513F881">
      <w:pPr>
        <w:pStyle w:val="89"/>
        <w:spacing w:before="156" w:after="156"/>
        <w:rPr>
          <w:rFonts w:ascii="宋体" w:hAnsi="宋体" w:eastAsia="宋体"/>
        </w:rPr>
      </w:pPr>
      <w:r>
        <w:rPr>
          <w:rFonts w:hint="eastAsia" w:ascii="宋体" w:hAnsi="宋体" w:eastAsia="宋体"/>
        </w:rPr>
        <w:t xml:space="preserve">从取出试件至拉拔试验结束，整个过程需要在2 </w:t>
      </w:r>
      <w:r>
        <w:rPr>
          <w:rFonts w:ascii="宋体" w:hAnsi="宋体" w:eastAsia="宋体"/>
        </w:rPr>
        <w:t>min</w:t>
      </w:r>
      <w:r>
        <w:rPr>
          <w:rFonts w:hint="eastAsia" w:ascii="宋体" w:hAnsi="宋体" w:eastAsia="宋体"/>
        </w:rPr>
        <w:t>内完成。</w:t>
      </w:r>
    </w:p>
    <w:p w14:paraId="6A3114B9">
      <w:pPr>
        <w:pStyle w:val="87"/>
        <w:spacing w:before="156" w:after="156"/>
      </w:pPr>
      <w:bookmarkStart w:id="447" w:name="_Toc109140539"/>
      <w:bookmarkStart w:id="448" w:name="_Toc183897584"/>
      <w:r>
        <w:t>结果计算</w:t>
      </w:r>
      <w:bookmarkEnd w:id="447"/>
      <w:bookmarkEnd w:id="448"/>
    </w:p>
    <w:p w14:paraId="77F4EF52">
      <w:pPr>
        <w:ind w:firstLine="420" w:firstLineChars="200"/>
      </w:pPr>
      <w:r>
        <w:t>拉拔强度按实测的最大拉力和实测试件直径</w:t>
      </w:r>
      <w:r>
        <w:rPr>
          <w:rFonts w:hint="eastAsia"/>
        </w:rPr>
        <w:t>依据公</w:t>
      </w:r>
      <w:r>
        <w:t>式</w:t>
      </w:r>
      <w:r>
        <w:rPr>
          <w:rFonts w:ascii="宋体" w:hAnsi="宋体"/>
        </w:rPr>
        <w:t>(D.</w:t>
      </w:r>
      <w:r>
        <w:rPr>
          <w:rFonts w:ascii="宋体" w:hAnsi="宋体"/>
        </w:rPr>
        <w:fldChar w:fldCharType="begin"/>
      </w:r>
      <w:r>
        <w:rPr>
          <w:rFonts w:ascii="宋体" w:hAnsi="宋体"/>
        </w:rPr>
        <w:instrText xml:space="preserve"> seq fulu_equation_133774481744094392 </w:instrText>
      </w:r>
      <w:r>
        <w:rPr>
          <w:rFonts w:ascii="宋体" w:hAnsi="宋体"/>
        </w:rPr>
        <w:fldChar w:fldCharType="separate"/>
      </w:r>
      <w:r>
        <w:rPr>
          <w:rFonts w:hint="eastAsia" w:ascii="宋体" w:hAnsi="宋体"/>
        </w:rPr>
        <w:t>1</w:t>
      </w:r>
      <w:r>
        <w:rPr>
          <w:rFonts w:ascii="宋体" w:hAnsi="宋体"/>
        </w:rPr>
        <w:fldChar w:fldCharType="end"/>
      </w:r>
      <w:r>
        <w:rPr>
          <w:rFonts w:ascii="宋体" w:hAnsi="宋体"/>
        </w:rPr>
        <w:t>)</w:t>
      </w:r>
      <w:r>
        <w:t>计算</w:t>
      </w:r>
      <w:r>
        <w:rPr>
          <w:rFonts w:hint="eastAsia"/>
        </w:rPr>
        <w:t>：</w:t>
      </w:r>
    </w:p>
    <w:p w14:paraId="0A8E0F22">
      <w:pPr>
        <w:pStyle w:val="121"/>
      </w:pPr>
      <w:r>
        <w:rPr>
          <w:rFonts w:hint="eastAsia"/>
        </w:rPr>
        <w:tab/>
      </w:r>
      <m:oMath>
        <m:sSub>
          <m:sSubPr>
            <m:ctrlPr>
              <w:rPr>
                <w:rFonts w:ascii="Cambria Math" w:hAnsi="Cambria Math"/>
                <w:i/>
              </w:rPr>
            </m:ctrlPr>
          </m:sSubPr>
          <m:e>
            <m:r>
              <m:rPr/>
              <w:rPr>
                <w:rFonts w:ascii="Cambria Math"/>
              </w:rPr>
              <m:t>τ</m:t>
            </m:r>
            <m:ctrlPr>
              <w:rPr>
                <w:rFonts w:ascii="Cambria Math" w:hAnsi="Cambria Math"/>
                <w:i/>
              </w:rPr>
            </m:ctrlPr>
          </m:e>
          <m:sub>
            <m:r>
              <m:rPr/>
              <w:rPr>
                <w:rFonts w:ascii="Cambria Math"/>
              </w:rPr>
              <m:t>TAT</m:t>
            </m:r>
            <m:ctrlPr>
              <w:rPr>
                <w:rFonts w:ascii="Cambria Math" w:hAnsi="Cambria Math"/>
                <w:i/>
              </w:rPr>
            </m:ctrlPr>
          </m:sub>
        </m:sSub>
        <m:r>
          <m:rPr/>
          <w:rPr>
            <w:rFonts w:ascii="Cambria Math"/>
          </w:rPr>
          <m:t>=</m:t>
        </m:r>
        <m:f>
          <m:fPr>
            <m:ctrlPr>
              <w:rPr>
                <w:rFonts w:ascii="Cambria Math" w:hAnsi="Cambria Math"/>
                <w:i/>
              </w:rPr>
            </m:ctrlPr>
          </m:fPr>
          <m:num>
            <m:r>
              <m:rPr/>
              <w:rPr>
                <w:rFonts w:ascii="Cambria Math"/>
              </w:rPr>
              <m:t>4F</m:t>
            </m:r>
            <m:ctrlPr>
              <w:rPr>
                <w:rFonts w:ascii="Cambria Math" w:hAnsi="Cambria Math"/>
                <w:i/>
              </w:rPr>
            </m:ctrlPr>
          </m:num>
          <m:den>
            <m:r>
              <m:rPr/>
              <w:rPr>
                <w:rFonts w:ascii="Cambria Math"/>
              </w:rPr>
              <m:t>π</m:t>
            </m:r>
            <m:sSup>
              <m:sSupPr>
                <m:ctrlPr>
                  <w:rPr>
                    <w:rFonts w:ascii="Cambria Math" w:hAnsi="Cambria Math"/>
                    <w:i/>
                  </w:rPr>
                </m:ctrlPr>
              </m:sSupPr>
              <m:e>
                <m:r>
                  <m:rPr/>
                  <w:rPr>
                    <w:rFonts w:ascii="Cambria Math"/>
                  </w:rPr>
                  <m:t>D</m:t>
                </m:r>
                <m:ctrlPr>
                  <w:rPr>
                    <w:rFonts w:ascii="Cambria Math" w:hAnsi="Cambria Math"/>
                    <w:i/>
                  </w:rPr>
                </m:ctrlPr>
              </m:e>
              <m:sup>
                <m:r>
                  <m:rPr/>
                  <w:rPr>
                    <w:rFonts w:ascii="Cambria Math"/>
                  </w:rPr>
                  <m:t>2</m:t>
                </m:r>
                <m:ctrlPr>
                  <w:rPr>
                    <w:rFonts w:ascii="Cambria Math" w:hAnsi="Cambria Math"/>
                    <w:i/>
                  </w:rPr>
                </m:ctrlPr>
              </m:sup>
            </m:sSup>
            <m:ctrlPr>
              <w:rPr>
                <w:rFonts w:ascii="Cambria Math" w:hAnsi="Cambria Math"/>
                <w:i/>
              </w:rPr>
            </m:ctrlPr>
          </m:den>
        </m:f>
        <m:r>
          <m:rPr/>
          <w:rPr>
            <w:rFonts w:ascii="Cambria Math" w:hAnsi="Cambria Math"/>
          </w:rPr>
          <m:t xml:space="preserve"> </m:t>
        </m:r>
      </m:oMath>
      <w:r>
        <w:rPr>
          <w:rFonts w:hint="eastAsia" w:ascii="微软雅黑" w:hAnsi="微软雅黑" w:eastAsia="微软雅黑"/>
        </w:rPr>
        <w:tab/>
      </w:r>
      <w:r>
        <w:t>(D.</w:t>
      </w:r>
      <w:r>
        <w:fldChar w:fldCharType="begin"/>
      </w:r>
      <w:r>
        <w:instrText xml:space="preserve"> seq fulu_equation_133774481744094392 </w:instrText>
      </w:r>
      <w:r>
        <w:fldChar w:fldCharType="separate"/>
      </w:r>
      <w:r>
        <w:rPr>
          <w:rFonts w:hint="eastAsia"/>
        </w:rPr>
        <w:t>1</w:t>
      </w:r>
      <w:r>
        <w:rPr>
          <w:rFonts w:hint="eastAsia"/>
        </w:rPr>
        <w:fldChar w:fldCharType="end"/>
      </w:r>
      <w:r>
        <w:t>)</w:t>
      </w:r>
    </w:p>
    <w:p w14:paraId="06E74606">
      <w:pPr>
        <w:pStyle w:val="63"/>
        <w:ind w:firstLine="420"/>
      </w:pPr>
      <w:r>
        <w:rPr>
          <w:rFonts w:hint="eastAsia"/>
        </w:rPr>
        <w:t>式中：</w:t>
      </w:r>
    </w:p>
    <w:p w14:paraId="71761045">
      <w:pPr>
        <w:ind w:firstLine="420" w:firstLineChars="200"/>
        <w:rPr>
          <w:rFonts w:ascii="宋体" w:hAnsi="宋体"/>
        </w:rPr>
      </w:pPr>
      <m:oMath>
        <m:sSub>
          <m:sSubPr>
            <m:ctrlPr>
              <w:rPr>
                <w:rFonts w:ascii="Cambria Math" w:hAnsi="Cambria Math"/>
                <w:i/>
              </w:rPr>
            </m:ctrlPr>
          </m:sSubPr>
          <m:e>
            <m:r>
              <m:rPr/>
              <w:rPr>
                <w:rFonts w:ascii="Cambria Math" w:hAnsi="宋体"/>
              </w:rPr>
              <m:t>τ</m:t>
            </m:r>
            <m:ctrlPr>
              <w:rPr>
                <w:rFonts w:ascii="Cambria Math" w:hAnsi="Cambria Math"/>
                <w:i/>
              </w:rPr>
            </m:ctrlPr>
          </m:e>
          <m:sub>
            <m:r>
              <m:rPr/>
              <w:rPr>
                <w:rFonts w:ascii="Cambria Math" w:hAnsi="宋体"/>
              </w:rPr>
              <m:t>TAT</m:t>
            </m:r>
            <m:ctrlPr>
              <w:rPr>
                <w:rFonts w:ascii="Cambria Math" w:hAnsi="宋体"/>
                <w:i/>
              </w:rPr>
            </m:ctrlPr>
          </m:sub>
        </m:sSub>
      </m:oMath>
      <w:r>
        <w:rPr>
          <w:rFonts w:ascii="Times New Roman" w:hAnsi="Times New Roman"/>
          <w:i/>
          <w:kern w:val="0"/>
        </w:rPr>
        <w:t>——</w:t>
      </w:r>
      <w:r>
        <w:rPr>
          <w:rFonts w:ascii="宋体" w:hAnsi="宋体"/>
        </w:rPr>
        <w:t>拉拔强度,</w:t>
      </w:r>
      <w:r>
        <w:rPr>
          <w:rFonts w:hint="eastAsia" w:ascii="宋体" w:hAnsi="宋体"/>
        </w:rPr>
        <w:t>单位为兆帕（</w:t>
      </w:r>
      <w:r>
        <w:rPr>
          <w:rFonts w:ascii="宋体" w:hAnsi="宋体"/>
        </w:rPr>
        <w:t>M</w:t>
      </w:r>
      <w:r>
        <w:rPr>
          <w:rFonts w:hint="eastAsia" w:ascii="宋体" w:hAnsi="宋体"/>
        </w:rPr>
        <w:t>P</w:t>
      </w:r>
      <w:r>
        <w:rPr>
          <w:rFonts w:ascii="宋体" w:hAnsi="宋体"/>
        </w:rPr>
        <w:t>a</w:t>
      </w:r>
      <w:r>
        <w:rPr>
          <w:rFonts w:hint="eastAsia" w:ascii="宋体" w:hAnsi="宋体"/>
        </w:rPr>
        <w:t>）；</w:t>
      </w:r>
    </w:p>
    <w:p w14:paraId="595B1AD4">
      <w:pPr>
        <w:ind w:firstLine="420" w:firstLineChars="200"/>
        <w:rPr>
          <w:rFonts w:ascii="宋体" w:hAnsi="宋体"/>
        </w:rPr>
      </w:pPr>
      <w:r>
        <w:rPr>
          <w:rFonts w:ascii="宋体" w:hAnsi="宋体"/>
        </w:rPr>
        <w:t>F</w:t>
      </w:r>
      <w:r>
        <w:rPr>
          <w:rFonts w:ascii="Times New Roman" w:hAnsi="Times New Roman"/>
          <w:i/>
          <w:kern w:val="0"/>
        </w:rPr>
        <w:t>——</w:t>
      </w:r>
      <w:r>
        <w:rPr>
          <w:rFonts w:ascii="宋体" w:hAnsi="宋体"/>
        </w:rPr>
        <w:t>最大拉力,单位为牛（N）</w:t>
      </w:r>
      <w:r>
        <w:rPr>
          <w:rFonts w:hint="eastAsia" w:ascii="宋体" w:hAnsi="宋体"/>
        </w:rPr>
        <w:t>；</w:t>
      </w:r>
    </w:p>
    <w:p w14:paraId="17212949">
      <w:pPr>
        <w:ind w:firstLine="420" w:firstLineChars="200"/>
        <w:rPr>
          <w:rFonts w:ascii="宋体" w:hAnsi="宋体"/>
        </w:rPr>
      </w:pPr>
      <w:r>
        <w:rPr>
          <w:rFonts w:ascii="宋体" w:hAnsi="宋体"/>
        </w:rPr>
        <w:t>D</w:t>
      </w:r>
      <w:r>
        <w:rPr>
          <w:rFonts w:ascii="Times New Roman" w:hAnsi="Times New Roman"/>
          <w:i/>
          <w:kern w:val="0"/>
        </w:rPr>
        <w:t>——</w:t>
      </w:r>
      <w:r>
        <w:rPr>
          <w:rFonts w:hint="eastAsia" w:ascii="宋体" w:hAnsi="宋体"/>
        </w:rPr>
        <w:t>试件</w:t>
      </w:r>
      <w:r>
        <w:rPr>
          <w:rFonts w:ascii="宋体" w:hAnsi="宋体"/>
        </w:rPr>
        <w:t>直径,单位为毫米（mm）</w:t>
      </w:r>
      <w:r>
        <w:rPr>
          <w:rFonts w:hint="eastAsia" w:ascii="宋体" w:hAnsi="宋体"/>
        </w:rPr>
        <w:t>。</w:t>
      </w:r>
    </w:p>
    <w:p w14:paraId="6E398911">
      <w:pPr>
        <w:pStyle w:val="87"/>
        <w:spacing w:before="156" w:after="156"/>
      </w:pPr>
      <w:bookmarkStart w:id="449" w:name="_Toc109140540"/>
      <w:bookmarkStart w:id="450" w:name="_Toc183897585"/>
      <w:r>
        <w:t>报告</w:t>
      </w:r>
      <w:bookmarkEnd w:id="449"/>
      <w:bookmarkEnd w:id="450"/>
    </w:p>
    <w:p w14:paraId="304C502E">
      <w:pPr>
        <w:pStyle w:val="64"/>
        <w:ind w:firstLine="420"/>
      </w:pPr>
      <w:r>
        <w:t>本方法应报告以下内容：</w:t>
      </w:r>
    </w:p>
    <w:p w14:paraId="7AACCA0D">
      <w:pPr>
        <w:pStyle w:val="182"/>
        <w:numPr>
          <w:ilvl w:val="0"/>
          <w:numId w:val="39"/>
        </w:numPr>
      </w:pPr>
      <w:r>
        <w:t>路面现场取芯测试位置信息（</w:t>
      </w:r>
      <w:r>
        <w:rPr>
          <w:rFonts w:hint="eastAsia"/>
        </w:rPr>
        <w:t>如有</w:t>
      </w:r>
      <w:r>
        <w:t>应标注工程名称、现场桩号、材料和结构的情况等）</w:t>
      </w:r>
      <w:r>
        <w:rPr>
          <w:rFonts w:hint="eastAsia"/>
        </w:rPr>
        <w:t>；</w:t>
      </w:r>
    </w:p>
    <w:p w14:paraId="51D050A7">
      <w:pPr>
        <w:pStyle w:val="182"/>
      </w:pPr>
      <w:r>
        <w:t>拉拔强度值</w:t>
      </w:r>
      <w:r>
        <w:rPr>
          <w:rFonts w:hint="eastAsia"/>
        </w:rPr>
        <w:t>；</w:t>
      </w:r>
    </w:p>
    <w:p w14:paraId="3FB3014B">
      <w:pPr>
        <w:pStyle w:val="182"/>
      </w:pPr>
      <w:r>
        <w:t>破坏断面情况</w:t>
      </w:r>
      <w:r>
        <w:rPr>
          <w:rFonts w:hint="eastAsia"/>
        </w:rPr>
        <w:t>。</w:t>
      </w:r>
    </w:p>
    <w:p w14:paraId="51455FEE">
      <w:pPr>
        <w:pStyle w:val="86"/>
        <w:spacing w:before="156" w:after="156"/>
      </w:pPr>
      <w:bookmarkStart w:id="451" w:name="_Toc184997615"/>
      <w:bookmarkStart w:id="452" w:name="_Toc183898476"/>
      <w:bookmarkStart w:id="453" w:name="_Toc183897586"/>
      <w:bookmarkStart w:id="454" w:name="_Toc183898323"/>
      <w:bookmarkStart w:id="455" w:name="_Toc183898638"/>
      <w:bookmarkStart w:id="456" w:name="_Toc183897638"/>
      <w:r>
        <w:rPr>
          <w:rFonts w:hint="eastAsia"/>
        </w:rPr>
        <w:t>剪切法测试粘结层强度</w:t>
      </w:r>
      <w:bookmarkEnd w:id="451"/>
      <w:bookmarkEnd w:id="452"/>
      <w:bookmarkEnd w:id="453"/>
      <w:bookmarkEnd w:id="454"/>
      <w:bookmarkEnd w:id="455"/>
      <w:bookmarkEnd w:id="456"/>
    </w:p>
    <w:p w14:paraId="6D7E0473">
      <w:pPr>
        <w:pStyle w:val="87"/>
        <w:spacing w:before="156" w:after="156"/>
      </w:pPr>
      <w:bookmarkStart w:id="457" w:name="_Toc109140542"/>
      <w:bookmarkStart w:id="458" w:name="_Toc183897587"/>
      <w:r>
        <w:t>仪具与材料技术要求</w:t>
      </w:r>
      <w:bookmarkEnd w:id="457"/>
      <w:bookmarkEnd w:id="458"/>
    </w:p>
    <w:p w14:paraId="167DAB90">
      <w:pPr>
        <w:pStyle w:val="89"/>
        <w:spacing w:before="156" w:after="156"/>
        <w:rPr>
          <w:rFonts w:ascii="宋体" w:hAnsi="宋体" w:eastAsia="宋体"/>
        </w:rPr>
      </w:pPr>
      <w:r>
        <w:rPr>
          <w:rFonts w:hint="eastAsia" w:ascii="宋体" w:hAnsi="宋体" w:eastAsia="宋体"/>
        </w:rPr>
        <w:t>液压伺服多功能材料试验机：可匀速施加压力，无明显振动和偏心，加载速率为（50±2）mm/min，最大位移不小于</w:t>
      </w:r>
      <w:r>
        <w:rPr>
          <w:rFonts w:ascii="宋体" w:hAnsi="宋体" w:eastAsia="宋体"/>
        </w:rPr>
        <w:t>10</w:t>
      </w:r>
      <w:r>
        <w:rPr>
          <w:rFonts w:hint="eastAsia" w:ascii="宋体" w:hAnsi="宋体" w:eastAsia="宋体"/>
        </w:rPr>
        <w:t xml:space="preserve"> mm，最大荷载不小于</w:t>
      </w:r>
      <w:r>
        <w:rPr>
          <w:rFonts w:ascii="宋体" w:hAnsi="宋体" w:eastAsia="宋体"/>
        </w:rPr>
        <w:t>20</w:t>
      </w:r>
      <w:r>
        <w:rPr>
          <w:rFonts w:hint="eastAsia" w:ascii="宋体" w:hAnsi="宋体" w:eastAsia="宋体"/>
        </w:rPr>
        <w:t xml:space="preserve"> </w:t>
      </w:r>
      <w:r>
        <w:rPr>
          <w:rFonts w:ascii="宋体" w:hAnsi="宋体" w:eastAsia="宋体"/>
        </w:rPr>
        <w:t>k</w:t>
      </w:r>
      <w:r>
        <w:rPr>
          <w:rFonts w:hint="eastAsia" w:ascii="宋体" w:hAnsi="宋体" w:eastAsia="宋体"/>
        </w:rPr>
        <w:t>N，精度不低于1 N，温度控制精度0.1℃。</w:t>
      </w:r>
    </w:p>
    <w:p w14:paraId="6E2B697C">
      <w:pPr>
        <w:pStyle w:val="89"/>
        <w:spacing w:before="156" w:after="156"/>
        <w:rPr>
          <w:rFonts w:ascii="宋体" w:hAnsi="宋体" w:eastAsia="宋体"/>
        </w:rPr>
      </w:pPr>
      <w:r>
        <w:rPr>
          <w:rFonts w:hint="eastAsia" w:ascii="宋体" w:hAnsi="宋体" w:eastAsia="宋体"/>
        </w:rPr>
        <w:t>剪切夹具的结构应与图D.2相符合，图D.2包含分图a）、b）、c）。</w:t>
      </w:r>
    </w:p>
    <w:p w14:paraId="127AA067">
      <w:pPr>
        <w:pStyle w:val="182"/>
        <w:numPr>
          <w:ilvl w:val="0"/>
          <w:numId w:val="40"/>
        </w:numPr>
      </w:pPr>
      <w:r>
        <w:t>夹具后端设置上下剪切环，采用不锈钢制作，用于固定试样，直径可从102</w:t>
      </w:r>
      <w:r>
        <w:rPr>
          <w:rFonts w:hint="eastAsia"/>
        </w:rPr>
        <w:t xml:space="preserve"> </w:t>
      </w:r>
      <w:r>
        <w:t>mm</w:t>
      </w:r>
      <w:r>
        <w:rPr>
          <w:rFonts w:hAnsi="宋体"/>
        </w:rPr>
        <w:t>±</w:t>
      </w:r>
      <w:r>
        <w:t>2</w:t>
      </w:r>
      <w:r>
        <w:rPr>
          <w:rFonts w:hint="eastAsia"/>
        </w:rPr>
        <w:t xml:space="preserve"> </w:t>
      </w:r>
      <w:r>
        <w:t>mm变径至150</w:t>
      </w:r>
      <w:r>
        <w:rPr>
          <w:rFonts w:hint="eastAsia"/>
        </w:rPr>
        <w:t xml:space="preserve"> </w:t>
      </w:r>
      <w:r>
        <w:t>mm</w:t>
      </w:r>
      <w:r>
        <w:rPr>
          <w:rFonts w:hAnsi="宋体"/>
        </w:rPr>
        <w:t>±</w:t>
      </w:r>
      <w:r>
        <w:t>2</w:t>
      </w:r>
      <w:r>
        <w:rPr>
          <w:rFonts w:hint="eastAsia"/>
        </w:rPr>
        <w:t xml:space="preserve"> </w:t>
      </w:r>
      <w:r>
        <w:t>mm，厚度50 mm</w:t>
      </w:r>
      <w:r>
        <w:rPr>
          <w:rFonts w:hAnsi="宋体"/>
        </w:rPr>
        <w:t>±</w:t>
      </w:r>
      <w:r>
        <w:t>2</w:t>
      </w:r>
      <w:r>
        <w:rPr>
          <w:rFonts w:hint="eastAsia"/>
        </w:rPr>
        <w:t xml:space="preserve"> </w:t>
      </w:r>
      <w:r>
        <w:t>mm，高度85 mm</w:t>
      </w:r>
      <w:r>
        <w:rPr>
          <w:rFonts w:hAnsi="宋体"/>
        </w:rPr>
        <w:t>±</w:t>
      </w:r>
      <w:r>
        <w:t>2</w:t>
      </w:r>
      <w:r>
        <w:rPr>
          <w:rFonts w:hint="eastAsia"/>
        </w:rPr>
        <w:t xml:space="preserve"> </w:t>
      </w:r>
      <w:r>
        <w:t>mm</w:t>
      </w:r>
      <w:r>
        <w:rPr>
          <w:rFonts w:hint="eastAsia"/>
        </w:rPr>
        <w:t>且上下剪切环的垂直间距小于</w:t>
      </w:r>
      <w:r>
        <w:t>5</w:t>
      </w:r>
      <w:r>
        <w:rPr>
          <w:rFonts w:hint="eastAsia"/>
        </w:rPr>
        <w:t xml:space="preserve"> </w:t>
      </w:r>
      <w:r>
        <w:t>mm。上下剪切环通过</w:t>
      </w:r>
      <w:r>
        <w:rPr>
          <w:rFonts w:hint="eastAsia"/>
        </w:rPr>
        <w:t>外径</w:t>
      </w:r>
      <w:r>
        <w:t>11</w:t>
      </w:r>
      <w:r>
        <w:rPr>
          <w:rFonts w:hint="eastAsia"/>
        </w:rPr>
        <w:t xml:space="preserve"> </w:t>
      </w:r>
      <w:r>
        <w:t>mm螺栓相互连接，下剪切环通过</w:t>
      </w:r>
      <w:r>
        <w:rPr>
          <w:rFonts w:hint="eastAsia"/>
        </w:rPr>
        <w:t>外径</w:t>
      </w:r>
      <w:r>
        <w:t>11</w:t>
      </w:r>
      <w:r>
        <w:rPr>
          <w:rFonts w:hint="eastAsia"/>
        </w:rPr>
        <w:t xml:space="preserve"> </w:t>
      </w:r>
      <w:r>
        <w:t>mm</w:t>
      </w:r>
      <w:r>
        <w:rPr>
          <w:rFonts w:hint="eastAsia"/>
        </w:rPr>
        <w:t>螺栓与底座相连，底座厚度</w:t>
      </w:r>
      <w:r>
        <w:t>20 mm</w:t>
      </w:r>
      <w:r>
        <w:rPr>
          <w:rFonts w:hint="eastAsia"/>
        </w:rPr>
        <w:t>±</w:t>
      </w:r>
      <w:r>
        <w:t>2</w:t>
      </w:r>
      <w:r>
        <w:rPr>
          <w:rFonts w:hint="eastAsia"/>
        </w:rPr>
        <w:t xml:space="preserve"> </w:t>
      </w:r>
      <w:r>
        <w:t>mm</w:t>
      </w:r>
      <w:r>
        <w:rPr>
          <w:rFonts w:hint="eastAsia"/>
        </w:rPr>
        <w:t>，底座通过外径</w:t>
      </w:r>
      <w:r>
        <w:t>16</w:t>
      </w:r>
      <w:r>
        <w:rPr>
          <w:rFonts w:hint="eastAsia"/>
        </w:rPr>
        <w:t xml:space="preserve"> </w:t>
      </w:r>
      <w:r>
        <w:t>mm</w:t>
      </w:r>
      <w:r>
        <w:rPr>
          <w:rFonts w:hint="eastAsia"/>
        </w:rPr>
        <w:t>螺栓与</w:t>
      </w:r>
      <w:r>
        <w:t>试验台连接。</w:t>
      </w:r>
    </w:p>
    <w:p w14:paraId="056847B1">
      <w:pPr>
        <w:pStyle w:val="182"/>
      </w:pPr>
      <w:r>
        <w:t>夹具前端设置上剪切环，采用不锈钢制作，用于作用力加载和固定试样，直径可从105</w:t>
      </w:r>
      <w:r>
        <w:rPr>
          <w:rFonts w:hint="eastAsia"/>
        </w:rPr>
        <w:t xml:space="preserve"> </w:t>
      </w:r>
      <w:r>
        <w:t>mm</w:t>
      </w:r>
      <w:r>
        <w:rPr>
          <w:rFonts w:hAnsi="宋体"/>
        </w:rPr>
        <w:t>±</w:t>
      </w:r>
      <w:r>
        <w:t>2</w:t>
      </w:r>
      <w:r>
        <w:rPr>
          <w:rFonts w:hint="eastAsia"/>
        </w:rPr>
        <w:t xml:space="preserve"> </w:t>
      </w:r>
      <w:r>
        <w:t>mm变径至155</w:t>
      </w:r>
      <w:r>
        <w:rPr>
          <w:rFonts w:hint="eastAsia"/>
        </w:rPr>
        <w:t xml:space="preserve"> </w:t>
      </w:r>
      <w:r>
        <w:t>mm</w:t>
      </w:r>
      <w:r>
        <w:rPr>
          <w:rFonts w:hAnsi="宋体"/>
        </w:rPr>
        <w:t>±</w:t>
      </w:r>
      <w:r>
        <w:t>2</w:t>
      </w:r>
      <w:r>
        <w:rPr>
          <w:rFonts w:hint="eastAsia"/>
        </w:rPr>
        <w:t xml:space="preserve"> </w:t>
      </w:r>
      <w:r>
        <w:t>mm，厚度50</w:t>
      </w:r>
      <w:r>
        <w:rPr>
          <w:rFonts w:hint="eastAsia"/>
        </w:rPr>
        <w:t xml:space="preserve"> </w:t>
      </w:r>
      <w:r>
        <w:t>mm</w:t>
      </w:r>
      <w:r>
        <w:rPr>
          <w:rFonts w:hAnsi="宋体"/>
        </w:rPr>
        <w:t>±</w:t>
      </w:r>
      <w:r>
        <w:t>2</w:t>
      </w:r>
      <w:r>
        <w:rPr>
          <w:rFonts w:hint="eastAsia"/>
        </w:rPr>
        <w:t xml:space="preserve"> </w:t>
      </w:r>
      <w:r>
        <w:t>mm，高度95</w:t>
      </w:r>
      <w:r>
        <w:rPr>
          <w:rFonts w:hint="eastAsia"/>
        </w:rPr>
        <w:t xml:space="preserve"> </w:t>
      </w:r>
      <w:r>
        <w:t>mm±2</w:t>
      </w:r>
      <w:r>
        <w:rPr>
          <w:rFonts w:hint="eastAsia"/>
        </w:rPr>
        <w:t xml:space="preserve"> </w:t>
      </w:r>
      <w:r>
        <w:t>mm。两端设置内径16</w:t>
      </w:r>
      <w:r>
        <w:rPr>
          <w:rFonts w:hint="eastAsia"/>
        </w:rPr>
        <w:t xml:space="preserve"> </w:t>
      </w:r>
      <w:r>
        <w:t>mm</w:t>
      </w:r>
      <w:r>
        <w:rPr>
          <w:rFonts w:hAnsi="宋体"/>
        </w:rPr>
        <w:t>±</w:t>
      </w:r>
      <w:r>
        <w:t>2</w:t>
      </w:r>
      <w:r>
        <w:rPr>
          <w:rFonts w:hint="eastAsia"/>
        </w:rPr>
        <w:t xml:space="preserve"> </w:t>
      </w:r>
      <w:r>
        <w:t>mm孔槽，插入直径16</w:t>
      </w:r>
      <w:r>
        <w:rPr>
          <w:rFonts w:hint="eastAsia"/>
        </w:rPr>
        <w:t xml:space="preserve"> </w:t>
      </w:r>
      <w:r>
        <w:t>mm</w:t>
      </w:r>
      <w:r>
        <w:rPr>
          <w:rFonts w:hAnsi="宋体"/>
        </w:rPr>
        <w:t>±</w:t>
      </w:r>
      <w:r>
        <w:t>2</w:t>
      </w:r>
      <w:r>
        <w:rPr>
          <w:rFonts w:hint="eastAsia"/>
        </w:rPr>
        <w:t xml:space="preserve"> </w:t>
      </w:r>
      <w:r>
        <w:t>mm套杆，保证夹具的水平状态。</w:t>
      </w:r>
    </w:p>
    <w:tbl>
      <w:tblPr>
        <w:tblStyle w:val="271"/>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4"/>
        <w:gridCol w:w="3264"/>
        <w:gridCol w:w="3114"/>
      </w:tblGrid>
      <w:tr w14:paraId="6CB2E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8" w:hRule="atLeast"/>
        </w:trPr>
        <w:tc>
          <w:tcPr>
            <w:tcW w:w="3040" w:type="dxa"/>
            <w:vAlign w:val="center"/>
          </w:tcPr>
          <w:p w14:paraId="0C931497">
            <w:pPr>
              <w:widowControl/>
              <w:spacing w:before="156" w:beforeLines="50" w:after="156" w:afterLines="50" w:line="240" w:lineRule="auto"/>
              <w:ind w:right="78" w:rightChars="37"/>
              <w:jc w:val="center"/>
              <w:rPr>
                <w:rFonts w:ascii="等线" w:hAnsi="等线" w:eastAsia="等线"/>
                <w:kern w:val="0"/>
              </w:rPr>
            </w:pPr>
            <w:r>
              <w:rPr>
                <w:rFonts w:ascii="宋体" w:hAnsi="宋体" w:eastAsia="等线"/>
                <w:kern w:val="0"/>
              </w:rPr>
              <w:drawing>
                <wp:inline distT="0" distB="0" distL="0" distR="0">
                  <wp:extent cx="1840230" cy="1231900"/>
                  <wp:effectExtent l="0" t="0" r="7620" b="6350"/>
                  <wp:docPr id="4035502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550229"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73481" cy="1253975"/>
                          </a:xfrm>
                          <a:prstGeom prst="rect">
                            <a:avLst/>
                          </a:prstGeom>
                          <a:noFill/>
                          <a:ln>
                            <a:noFill/>
                          </a:ln>
                        </pic:spPr>
                      </pic:pic>
                    </a:graphicData>
                  </a:graphic>
                </wp:inline>
              </w:drawing>
            </w:r>
          </w:p>
        </w:tc>
        <w:tc>
          <w:tcPr>
            <w:tcW w:w="3186" w:type="dxa"/>
            <w:vAlign w:val="center"/>
          </w:tcPr>
          <w:p w14:paraId="01899CAE">
            <w:pPr>
              <w:widowControl/>
              <w:spacing w:before="156" w:beforeLines="50" w:after="156" w:afterLines="50" w:line="240" w:lineRule="auto"/>
              <w:ind w:right="78" w:rightChars="37"/>
              <w:jc w:val="center"/>
              <w:rPr>
                <w:rFonts w:ascii="等线" w:hAnsi="等线" w:eastAsia="等线"/>
                <w:kern w:val="0"/>
              </w:rPr>
            </w:pPr>
            <w:r>
              <w:rPr>
                <w:rFonts w:ascii="等线" w:hAnsi="等线" w:eastAsia="等线"/>
                <w:kern w:val="0"/>
              </w:rPr>
              <w:drawing>
                <wp:inline distT="0" distB="0" distL="0" distR="0">
                  <wp:extent cx="1945640" cy="1550670"/>
                  <wp:effectExtent l="0" t="0" r="0" b="0"/>
                  <wp:docPr id="1527956392"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956392" name="图片 4" descr="图示&#10;&#10;描述已自动生成"/>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971647" cy="1571304"/>
                          </a:xfrm>
                          <a:prstGeom prst="rect">
                            <a:avLst/>
                          </a:prstGeom>
                          <a:noFill/>
                          <a:ln>
                            <a:noFill/>
                          </a:ln>
                        </pic:spPr>
                      </pic:pic>
                    </a:graphicData>
                  </a:graphic>
                </wp:inline>
              </w:drawing>
            </w:r>
          </w:p>
        </w:tc>
        <w:tc>
          <w:tcPr>
            <w:tcW w:w="3040" w:type="dxa"/>
            <w:vAlign w:val="center"/>
          </w:tcPr>
          <w:p w14:paraId="174C7F0D">
            <w:pPr>
              <w:widowControl/>
              <w:spacing w:before="156" w:beforeLines="50" w:after="156" w:afterLines="50" w:line="240" w:lineRule="auto"/>
              <w:ind w:right="78" w:rightChars="37"/>
              <w:jc w:val="center"/>
              <w:rPr>
                <w:rFonts w:ascii="等线" w:hAnsi="等线" w:eastAsia="等线"/>
                <w:kern w:val="0"/>
              </w:rPr>
            </w:pPr>
            <w:r>
              <w:rPr>
                <w:rFonts w:ascii="等线" w:hAnsi="等线" w:eastAsia="等线"/>
                <w:kern w:val="0"/>
              </w:rPr>
              <w:drawing>
                <wp:inline distT="0" distB="0" distL="0" distR="0">
                  <wp:extent cx="1845310" cy="1304925"/>
                  <wp:effectExtent l="0" t="0" r="2540" b="0"/>
                  <wp:docPr id="101620939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209396" name="图片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64349" cy="1318082"/>
                          </a:xfrm>
                          <a:prstGeom prst="rect">
                            <a:avLst/>
                          </a:prstGeom>
                          <a:noFill/>
                          <a:ln>
                            <a:noFill/>
                          </a:ln>
                        </pic:spPr>
                      </pic:pic>
                    </a:graphicData>
                  </a:graphic>
                </wp:inline>
              </w:drawing>
            </w:r>
          </w:p>
        </w:tc>
      </w:tr>
      <w:tr w14:paraId="5249C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 w:hRule="atLeast"/>
        </w:trPr>
        <w:tc>
          <w:tcPr>
            <w:tcW w:w="3040" w:type="dxa"/>
            <w:vAlign w:val="center"/>
          </w:tcPr>
          <w:p w14:paraId="2638D486">
            <w:pPr>
              <w:widowControl/>
              <w:spacing w:before="156" w:beforeLines="50" w:after="156" w:afterLines="50" w:line="240" w:lineRule="auto"/>
              <w:ind w:right="78" w:rightChars="37"/>
              <w:jc w:val="center"/>
              <w:rPr>
                <w:rFonts w:ascii="等线" w:hAnsi="等线" w:eastAsia="等线" w:cs="宋体"/>
                <w:kern w:val="0"/>
              </w:rPr>
            </w:pPr>
            <w:r>
              <w:rPr>
                <w:rFonts w:ascii="宋体" w:hAnsi="宋体" w:eastAsia="等线" w:cs="宋体"/>
                <w:kern w:val="0"/>
                <w:sz w:val="18"/>
                <w:szCs w:val="18"/>
              </w:rPr>
              <w:t>a)</w:t>
            </w:r>
            <w:r>
              <w:rPr>
                <w:rFonts w:hint="eastAsia" w:ascii="宋体" w:hAnsi="宋体" w:eastAsia="等线" w:cs="宋体"/>
                <w:kern w:val="0"/>
                <w:sz w:val="18"/>
                <w:szCs w:val="18"/>
              </w:rPr>
              <w:t>剪切</w:t>
            </w:r>
            <w:r>
              <w:rPr>
                <w:rFonts w:ascii="宋体" w:hAnsi="宋体" w:eastAsia="等线" w:cs="宋体"/>
                <w:kern w:val="0"/>
                <w:sz w:val="18"/>
                <w:szCs w:val="18"/>
              </w:rPr>
              <w:t>夹具</w:t>
            </w:r>
            <w:r>
              <w:rPr>
                <w:rFonts w:hint="eastAsia" w:ascii="宋体" w:hAnsi="宋体" w:eastAsia="等线" w:cs="宋体"/>
                <w:kern w:val="0"/>
                <w:sz w:val="18"/>
                <w:szCs w:val="18"/>
              </w:rPr>
              <w:t>侧</w:t>
            </w:r>
            <w:r>
              <w:rPr>
                <w:rFonts w:ascii="宋体" w:hAnsi="宋体" w:eastAsia="等线" w:cs="宋体"/>
                <w:kern w:val="0"/>
                <w:sz w:val="18"/>
                <w:szCs w:val="18"/>
              </w:rPr>
              <w:t>视图</w:t>
            </w:r>
          </w:p>
        </w:tc>
        <w:tc>
          <w:tcPr>
            <w:tcW w:w="3186" w:type="dxa"/>
            <w:vAlign w:val="center"/>
          </w:tcPr>
          <w:p w14:paraId="6D3DE6AD">
            <w:pPr>
              <w:widowControl/>
              <w:spacing w:before="156" w:beforeLines="50" w:after="156" w:afterLines="50" w:line="240" w:lineRule="auto"/>
              <w:ind w:right="78" w:rightChars="37"/>
              <w:jc w:val="center"/>
              <w:rPr>
                <w:rFonts w:ascii="宋体" w:hAnsi="宋体" w:eastAsia="等线" w:cs="宋体"/>
                <w:kern w:val="0"/>
              </w:rPr>
            </w:pPr>
            <w:r>
              <w:rPr>
                <w:rFonts w:ascii="宋体" w:hAnsi="宋体" w:eastAsia="等线" w:cs="宋体"/>
                <w:kern w:val="0"/>
                <w:sz w:val="18"/>
                <w:szCs w:val="18"/>
              </w:rPr>
              <w:t>b）剪切夹具俯视图</w:t>
            </w:r>
          </w:p>
        </w:tc>
        <w:tc>
          <w:tcPr>
            <w:tcW w:w="3040" w:type="dxa"/>
            <w:vAlign w:val="center"/>
          </w:tcPr>
          <w:p w14:paraId="7AC77E6B">
            <w:pPr>
              <w:widowControl/>
              <w:spacing w:before="156" w:beforeLines="50" w:after="156" w:afterLines="50" w:line="240" w:lineRule="auto"/>
              <w:ind w:right="78" w:rightChars="37"/>
              <w:jc w:val="center"/>
              <w:rPr>
                <w:rFonts w:ascii="宋体" w:hAnsi="宋体" w:eastAsia="等线" w:cs="宋体"/>
                <w:kern w:val="0"/>
              </w:rPr>
            </w:pPr>
            <w:r>
              <w:rPr>
                <w:rFonts w:ascii="宋体" w:hAnsi="宋体" w:eastAsia="等线" w:cs="宋体"/>
                <w:kern w:val="0"/>
                <w:sz w:val="18"/>
                <w:szCs w:val="18"/>
              </w:rPr>
              <w:t>c）</w:t>
            </w:r>
            <w:r>
              <w:rPr>
                <w:rFonts w:hint="eastAsia" w:ascii="宋体" w:hAnsi="宋体" w:eastAsia="等线" w:cs="宋体"/>
                <w:kern w:val="0"/>
                <w:sz w:val="18"/>
                <w:szCs w:val="18"/>
              </w:rPr>
              <w:t>剪切</w:t>
            </w:r>
            <w:r>
              <w:rPr>
                <w:rFonts w:ascii="宋体" w:hAnsi="宋体" w:eastAsia="等线" w:cs="宋体"/>
                <w:kern w:val="0"/>
                <w:sz w:val="18"/>
                <w:szCs w:val="18"/>
              </w:rPr>
              <w:t>夹具</w:t>
            </w:r>
            <w:r>
              <w:rPr>
                <w:rFonts w:hint="eastAsia" w:ascii="宋体" w:hAnsi="宋体" w:eastAsia="等线" w:cs="宋体"/>
                <w:kern w:val="0"/>
                <w:sz w:val="18"/>
                <w:szCs w:val="18"/>
              </w:rPr>
              <w:t>正视</w:t>
            </w:r>
            <w:r>
              <w:rPr>
                <w:rFonts w:ascii="宋体" w:hAnsi="宋体" w:eastAsia="等线" w:cs="宋体"/>
                <w:kern w:val="0"/>
                <w:sz w:val="18"/>
                <w:szCs w:val="18"/>
              </w:rPr>
              <w:t>图</w:t>
            </w:r>
          </w:p>
        </w:tc>
      </w:tr>
    </w:tbl>
    <w:p w14:paraId="57D42C5E">
      <w:pPr>
        <w:widowControl/>
        <w:spacing w:line="240" w:lineRule="auto"/>
        <w:jc w:val="left"/>
        <w:rPr>
          <w:rFonts w:ascii="宋体" w:hAnsi="宋体"/>
          <w:kern w:val="0"/>
          <w:sz w:val="18"/>
          <w:szCs w:val="18"/>
        </w:rPr>
      </w:pPr>
      <w:r>
        <w:rPr>
          <w:rFonts w:hint="eastAsia" w:ascii="宋体" w:hAnsi="宋体"/>
          <w:kern w:val="0"/>
          <w:sz w:val="18"/>
          <w:szCs w:val="18"/>
        </w:rPr>
        <w:t>标引序号说明：</w:t>
      </w:r>
    </w:p>
    <w:p w14:paraId="7460603C">
      <w:pPr>
        <w:widowControl/>
        <w:spacing w:line="240" w:lineRule="auto"/>
        <w:jc w:val="left"/>
        <w:rPr>
          <w:rFonts w:ascii="宋体" w:hAnsi="宋体"/>
          <w:kern w:val="0"/>
          <w:sz w:val="18"/>
          <w:szCs w:val="18"/>
        </w:rPr>
      </w:pPr>
      <w:r>
        <w:rPr>
          <w:rFonts w:hint="eastAsia" w:ascii="宋体" w:hAnsi="宋体"/>
          <w:kern w:val="0"/>
          <w:sz w:val="18"/>
          <w:szCs w:val="18"/>
        </w:rPr>
        <w:t>1</w:t>
      </w:r>
      <w:r>
        <w:rPr>
          <w:rFonts w:ascii="Times New Roman" w:hAnsi="Times New Roman"/>
          <w:kern w:val="0"/>
          <w:sz w:val="18"/>
          <w:szCs w:val="18"/>
        </w:rPr>
        <w:t>——</w:t>
      </w:r>
      <w:r>
        <w:rPr>
          <w:rFonts w:hint="eastAsia" w:ascii="宋体" w:hAnsi="宋体"/>
          <w:kern w:val="0"/>
          <w:sz w:val="18"/>
          <w:szCs w:val="18"/>
        </w:rPr>
        <w:t>连接螺栓；</w:t>
      </w:r>
    </w:p>
    <w:p w14:paraId="3058C3DA">
      <w:pPr>
        <w:widowControl/>
        <w:spacing w:line="240" w:lineRule="auto"/>
        <w:jc w:val="left"/>
        <w:rPr>
          <w:rFonts w:ascii="宋体" w:hAnsi="宋体"/>
          <w:kern w:val="0"/>
          <w:sz w:val="18"/>
          <w:szCs w:val="18"/>
        </w:rPr>
      </w:pPr>
      <w:r>
        <w:rPr>
          <w:rFonts w:hint="eastAsia" w:ascii="宋体" w:hAnsi="宋体"/>
          <w:kern w:val="0"/>
          <w:sz w:val="18"/>
          <w:szCs w:val="18"/>
        </w:rPr>
        <w:t>2</w:t>
      </w:r>
      <w:r>
        <w:rPr>
          <w:rFonts w:ascii="Times New Roman" w:hAnsi="Times New Roman"/>
          <w:kern w:val="0"/>
          <w:sz w:val="18"/>
          <w:szCs w:val="18"/>
        </w:rPr>
        <w:t>——</w:t>
      </w:r>
      <w:r>
        <w:rPr>
          <w:rFonts w:hint="eastAsia" w:ascii="宋体" w:hAnsi="宋体"/>
          <w:kern w:val="0"/>
          <w:sz w:val="18"/>
          <w:szCs w:val="18"/>
        </w:rPr>
        <w:t>上剪切环；</w:t>
      </w:r>
    </w:p>
    <w:p w14:paraId="585E44F5">
      <w:pPr>
        <w:widowControl/>
        <w:spacing w:line="240" w:lineRule="auto"/>
        <w:jc w:val="left"/>
        <w:rPr>
          <w:rFonts w:ascii="宋体" w:hAnsi="宋体"/>
          <w:kern w:val="0"/>
          <w:sz w:val="18"/>
          <w:szCs w:val="18"/>
        </w:rPr>
      </w:pPr>
      <w:r>
        <w:rPr>
          <w:rFonts w:hint="eastAsia" w:ascii="宋体" w:hAnsi="宋体"/>
          <w:kern w:val="0"/>
          <w:sz w:val="18"/>
          <w:szCs w:val="18"/>
        </w:rPr>
        <w:t>3</w:t>
      </w:r>
      <w:r>
        <w:rPr>
          <w:rFonts w:ascii="Times New Roman" w:hAnsi="Times New Roman"/>
          <w:kern w:val="0"/>
          <w:sz w:val="18"/>
          <w:szCs w:val="18"/>
        </w:rPr>
        <w:t>——</w:t>
      </w:r>
      <w:r>
        <w:rPr>
          <w:rFonts w:hint="eastAsia" w:ascii="宋体" w:hAnsi="宋体"/>
          <w:kern w:val="0"/>
          <w:sz w:val="18"/>
          <w:szCs w:val="18"/>
        </w:rPr>
        <w:t>上剪切环1</w:t>
      </w:r>
      <w:r>
        <w:rPr>
          <w:rFonts w:ascii="宋体" w:hAnsi="宋体"/>
          <w:kern w:val="0"/>
          <w:sz w:val="18"/>
          <w:szCs w:val="18"/>
        </w:rPr>
        <w:t>00</w:t>
      </w:r>
      <w:r>
        <w:rPr>
          <w:rFonts w:hint="eastAsia" w:ascii="宋体" w:hAnsi="宋体"/>
          <w:kern w:val="0"/>
          <w:sz w:val="18"/>
          <w:szCs w:val="18"/>
        </w:rPr>
        <w:t xml:space="preserve"> </w:t>
      </w:r>
      <w:r>
        <w:rPr>
          <w:rFonts w:ascii="宋体" w:hAnsi="宋体"/>
          <w:kern w:val="0"/>
          <w:sz w:val="18"/>
          <w:szCs w:val="18"/>
        </w:rPr>
        <w:t>mm</w:t>
      </w:r>
      <w:r>
        <w:rPr>
          <w:rFonts w:hint="eastAsia" w:ascii="宋体" w:hAnsi="宋体"/>
          <w:kern w:val="0"/>
          <w:sz w:val="18"/>
          <w:szCs w:val="18"/>
        </w:rPr>
        <w:t>变径头；</w:t>
      </w:r>
    </w:p>
    <w:p w14:paraId="33883EC6">
      <w:pPr>
        <w:widowControl/>
        <w:spacing w:line="240" w:lineRule="auto"/>
        <w:jc w:val="left"/>
        <w:rPr>
          <w:rFonts w:ascii="宋体" w:hAnsi="宋体"/>
          <w:kern w:val="0"/>
          <w:sz w:val="18"/>
          <w:szCs w:val="18"/>
        </w:rPr>
      </w:pPr>
      <w:r>
        <w:rPr>
          <w:rFonts w:hint="eastAsia" w:ascii="宋体" w:hAnsi="宋体"/>
          <w:kern w:val="0"/>
          <w:sz w:val="18"/>
          <w:szCs w:val="18"/>
        </w:rPr>
        <w:t>4</w:t>
      </w:r>
      <w:r>
        <w:rPr>
          <w:rFonts w:ascii="Times New Roman" w:hAnsi="Times New Roman"/>
          <w:kern w:val="0"/>
          <w:sz w:val="18"/>
          <w:szCs w:val="18"/>
        </w:rPr>
        <w:t>——</w:t>
      </w:r>
      <w:r>
        <w:rPr>
          <w:rFonts w:hint="eastAsia" w:ascii="宋体" w:hAnsi="宋体"/>
          <w:kern w:val="0"/>
          <w:sz w:val="18"/>
          <w:szCs w:val="18"/>
        </w:rPr>
        <w:t>试件；</w:t>
      </w:r>
    </w:p>
    <w:p w14:paraId="0CDD0E9F">
      <w:pPr>
        <w:widowControl/>
        <w:spacing w:line="240" w:lineRule="auto"/>
        <w:jc w:val="left"/>
        <w:rPr>
          <w:rFonts w:ascii="宋体" w:hAnsi="宋体"/>
          <w:kern w:val="0"/>
          <w:sz w:val="18"/>
          <w:szCs w:val="18"/>
        </w:rPr>
      </w:pPr>
      <w:r>
        <w:rPr>
          <w:rFonts w:hint="eastAsia" w:ascii="宋体" w:hAnsi="宋体"/>
          <w:kern w:val="0"/>
          <w:sz w:val="18"/>
          <w:szCs w:val="18"/>
        </w:rPr>
        <w:t>5</w:t>
      </w:r>
      <w:r>
        <w:rPr>
          <w:rFonts w:ascii="Times New Roman" w:hAnsi="Times New Roman"/>
          <w:kern w:val="0"/>
          <w:sz w:val="18"/>
          <w:szCs w:val="18"/>
        </w:rPr>
        <w:t>——</w:t>
      </w:r>
      <w:r>
        <w:rPr>
          <w:rFonts w:hint="eastAsia" w:ascii="宋体" w:hAnsi="宋体"/>
          <w:kern w:val="0"/>
          <w:sz w:val="18"/>
          <w:szCs w:val="18"/>
        </w:rPr>
        <w:t>底座；</w:t>
      </w:r>
    </w:p>
    <w:p w14:paraId="17869154">
      <w:pPr>
        <w:widowControl/>
        <w:spacing w:line="240" w:lineRule="auto"/>
        <w:jc w:val="left"/>
        <w:rPr>
          <w:rFonts w:ascii="宋体" w:hAnsi="宋体"/>
          <w:kern w:val="0"/>
          <w:sz w:val="18"/>
          <w:szCs w:val="18"/>
        </w:rPr>
      </w:pPr>
      <w:r>
        <w:rPr>
          <w:rFonts w:hint="eastAsia" w:ascii="宋体" w:hAnsi="宋体"/>
          <w:kern w:val="0"/>
          <w:sz w:val="18"/>
          <w:szCs w:val="18"/>
        </w:rPr>
        <w:t>6</w:t>
      </w:r>
      <w:r>
        <w:rPr>
          <w:rFonts w:ascii="Times New Roman" w:hAnsi="Times New Roman"/>
          <w:kern w:val="0"/>
          <w:sz w:val="18"/>
          <w:szCs w:val="18"/>
        </w:rPr>
        <w:t>——</w:t>
      </w:r>
      <w:r>
        <w:rPr>
          <w:rFonts w:hint="eastAsia" w:ascii="宋体" w:hAnsi="宋体"/>
          <w:kern w:val="0"/>
          <w:sz w:val="18"/>
          <w:szCs w:val="18"/>
        </w:rPr>
        <w:t>前端剪切环；</w:t>
      </w:r>
    </w:p>
    <w:p w14:paraId="2081F366">
      <w:pPr>
        <w:widowControl/>
        <w:spacing w:line="240" w:lineRule="auto"/>
        <w:jc w:val="left"/>
        <w:rPr>
          <w:rFonts w:ascii="宋体" w:hAnsi="宋体"/>
          <w:kern w:val="0"/>
          <w:sz w:val="18"/>
          <w:szCs w:val="18"/>
        </w:rPr>
      </w:pPr>
      <w:r>
        <w:rPr>
          <w:rFonts w:hint="eastAsia" w:ascii="宋体" w:hAnsi="宋体"/>
          <w:kern w:val="0"/>
          <w:sz w:val="18"/>
          <w:szCs w:val="18"/>
        </w:rPr>
        <w:t>7</w:t>
      </w:r>
      <w:r>
        <w:rPr>
          <w:rFonts w:ascii="Times New Roman" w:hAnsi="Times New Roman"/>
          <w:kern w:val="0"/>
          <w:sz w:val="18"/>
          <w:szCs w:val="18"/>
        </w:rPr>
        <w:t>——</w:t>
      </w:r>
      <w:r>
        <w:rPr>
          <w:rFonts w:hint="eastAsia" w:ascii="宋体" w:hAnsi="宋体"/>
          <w:kern w:val="0"/>
          <w:sz w:val="18"/>
          <w:szCs w:val="18"/>
        </w:rPr>
        <w:t>前端剪切环变径头；</w:t>
      </w:r>
    </w:p>
    <w:p w14:paraId="34634627">
      <w:pPr>
        <w:widowControl/>
        <w:spacing w:line="240" w:lineRule="auto"/>
        <w:jc w:val="left"/>
        <w:rPr>
          <w:rFonts w:ascii="宋体" w:hAnsi="宋体"/>
          <w:kern w:val="0"/>
          <w:sz w:val="18"/>
          <w:szCs w:val="18"/>
        </w:rPr>
      </w:pPr>
      <w:r>
        <w:rPr>
          <w:rFonts w:hint="eastAsia" w:ascii="宋体" w:hAnsi="宋体"/>
          <w:kern w:val="0"/>
          <w:sz w:val="18"/>
          <w:szCs w:val="18"/>
        </w:rPr>
        <w:t>8</w:t>
      </w:r>
      <w:r>
        <w:rPr>
          <w:rFonts w:ascii="Times New Roman" w:hAnsi="Times New Roman"/>
          <w:kern w:val="0"/>
          <w:sz w:val="18"/>
          <w:szCs w:val="18"/>
        </w:rPr>
        <w:t>——</w:t>
      </w:r>
      <w:r>
        <w:rPr>
          <w:rFonts w:hint="eastAsia" w:ascii="宋体" w:hAnsi="宋体"/>
          <w:kern w:val="0"/>
          <w:sz w:val="18"/>
          <w:szCs w:val="18"/>
        </w:rPr>
        <w:t>固定套杆；</w:t>
      </w:r>
    </w:p>
    <w:p w14:paraId="5F87258D">
      <w:pPr>
        <w:widowControl/>
        <w:spacing w:line="240" w:lineRule="auto"/>
        <w:jc w:val="left"/>
        <w:rPr>
          <w:rFonts w:ascii="宋体" w:hAnsi="宋体"/>
          <w:kern w:val="0"/>
          <w:sz w:val="18"/>
          <w:szCs w:val="18"/>
        </w:rPr>
      </w:pPr>
      <w:r>
        <w:rPr>
          <w:rFonts w:hint="eastAsia" w:ascii="宋体" w:hAnsi="宋体"/>
          <w:kern w:val="0"/>
          <w:sz w:val="18"/>
          <w:szCs w:val="18"/>
        </w:rPr>
        <w:t>9</w:t>
      </w:r>
      <w:r>
        <w:rPr>
          <w:rFonts w:ascii="Times New Roman" w:hAnsi="Times New Roman"/>
          <w:kern w:val="0"/>
          <w:sz w:val="18"/>
          <w:szCs w:val="18"/>
        </w:rPr>
        <w:t>——</w:t>
      </w:r>
      <w:r>
        <w:rPr>
          <w:rFonts w:hint="eastAsia" w:ascii="宋体" w:hAnsi="宋体"/>
          <w:kern w:val="0"/>
          <w:sz w:val="18"/>
          <w:szCs w:val="18"/>
        </w:rPr>
        <w:t>下剪切环；</w:t>
      </w:r>
    </w:p>
    <w:p w14:paraId="5EB874D4">
      <w:pPr>
        <w:widowControl/>
        <w:spacing w:line="240" w:lineRule="auto"/>
        <w:jc w:val="left"/>
        <w:rPr>
          <w:rFonts w:ascii="宋体" w:hAnsi="宋体"/>
          <w:kern w:val="0"/>
          <w:sz w:val="18"/>
          <w:szCs w:val="18"/>
        </w:rPr>
      </w:pPr>
      <w:r>
        <w:rPr>
          <w:rFonts w:hint="eastAsia" w:ascii="宋体" w:hAnsi="宋体"/>
          <w:kern w:val="0"/>
          <w:sz w:val="18"/>
          <w:szCs w:val="18"/>
        </w:rPr>
        <w:t>1</w:t>
      </w:r>
      <w:r>
        <w:rPr>
          <w:rFonts w:ascii="宋体" w:hAnsi="宋体"/>
          <w:kern w:val="0"/>
          <w:sz w:val="18"/>
          <w:szCs w:val="18"/>
        </w:rPr>
        <w:t>0</w:t>
      </w:r>
      <w:r>
        <w:rPr>
          <w:rFonts w:ascii="Times New Roman" w:hAnsi="Times New Roman"/>
          <w:kern w:val="0"/>
          <w:sz w:val="18"/>
          <w:szCs w:val="18"/>
        </w:rPr>
        <w:t>——</w:t>
      </w:r>
      <w:r>
        <w:rPr>
          <w:rFonts w:ascii="宋体" w:hAnsi="宋体"/>
          <w:kern w:val="0"/>
          <w:sz w:val="18"/>
          <w:szCs w:val="18"/>
        </w:rPr>
        <w:t>下剪切环</w:t>
      </w:r>
      <w:r>
        <w:rPr>
          <w:rFonts w:hint="eastAsia" w:ascii="宋体" w:hAnsi="宋体"/>
          <w:kern w:val="0"/>
          <w:sz w:val="18"/>
          <w:szCs w:val="18"/>
        </w:rPr>
        <w:t>1</w:t>
      </w:r>
      <w:r>
        <w:rPr>
          <w:rFonts w:ascii="宋体" w:hAnsi="宋体"/>
          <w:kern w:val="0"/>
          <w:sz w:val="18"/>
          <w:szCs w:val="18"/>
        </w:rPr>
        <w:t>00</w:t>
      </w:r>
      <w:r>
        <w:rPr>
          <w:rFonts w:hint="eastAsia" w:ascii="宋体" w:hAnsi="宋体"/>
          <w:kern w:val="0"/>
          <w:sz w:val="18"/>
          <w:szCs w:val="18"/>
        </w:rPr>
        <w:t xml:space="preserve"> </w:t>
      </w:r>
      <w:r>
        <w:rPr>
          <w:rFonts w:ascii="宋体" w:hAnsi="宋体"/>
          <w:kern w:val="0"/>
          <w:sz w:val="18"/>
          <w:szCs w:val="18"/>
        </w:rPr>
        <w:t>mm变径头</w:t>
      </w:r>
      <w:r>
        <w:rPr>
          <w:rFonts w:hint="eastAsia" w:ascii="宋体" w:hAnsi="宋体"/>
          <w:kern w:val="0"/>
          <w:sz w:val="18"/>
          <w:szCs w:val="18"/>
        </w:rPr>
        <w:t>；</w:t>
      </w:r>
    </w:p>
    <w:p w14:paraId="6566C45A">
      <w:pPr>
        <w:widowControl/>
        <w:spacing w:line="240" w:lineRule="auto"/>
        <w:jc w:val="left"/>
        <w:rPr>
          <w:rFonts w:ascii="宋体" w:hAnsi="宋体"/>
          <w:kern w:val="0"/>
          <w:sz w:val="18"/>
          <w:szCs w:val="18"/>
        </w:rPr>
      </w:pPr>
      <w:r>
        <w:rPr>
          <w:rFonts w:hint="eastAsia" w:ascii="宋体" w:hAnsi="宋体"/>
          <w:kern w:val="0"/>
          <w:sz w:val="18"/>
          <w:szCs w:val="18"/>
        </w:rPr>
        <w:t>1</w:t>
      </w:r>
      <w:r>
        <w:rPr>
          <w:rFonts w:ascii="宋体" w:hAnsi="宋体"/>
          <w:kern w:val="0"/>
          <w:sz w:val="18"/>
          <w:szCs w:val="18"/>
        </w:rPr>
        <w:t>1</w:t>
      </w:r>
      <w:r>
        <w:rPr>
          <w:rFonts w:ascii="Times New Roman" w:hAnsi="Times New Roman"/>
          <w:kern w:val="0"/>
          <w:sz w:val="18"/>
          <w:szCs w:val="18"/>
        </w:rPr>
        <w:t>——</w:t>
      </w:r>
      <w:r>
        <w:rPr>
          <w:rFonts w:ascii="宋体" w:hAnsi="宋体"/>
          <w:kern w:val="0"/>
          <w:sz w:val="18"/>
          <w:szCs w:val="18"/>
        </w:rPr>
        <w:t>应力加载槽</w:t>
      </w:r>
      <w:r>
        <w:rPr>
          <w:rFonts w:hint="eastAsia" w:ascii="宋体" w:hAnsi="宋体"/>
          <w:kern w:val="0"/>
          <w:sz w:val="18"/>
          <w:szCs w:val="18"/>
        </w:rPr>
        <w:t>。</w:t>
      </w:r>
    </w:p>
    <w:p w14:paraId="32879AA5">
      <w:pPr>
        <w:widowControl/>
        <w:jc w:val="center"/>
        <w:rPr>
          <w:rFonts w:ascii="宋体" w:hAnsi="宋体"/>
          <w:kern w:val="0"/>
        </w:rPr>
      </w:pPr>
      <w:r>
        <w:rPr>
          <w:rFonts w:hint="eastAsia" w:ascii="黑体" w:hAnsi="黑体" w:eastAsia="黑体"/>
          <w:kern w:val="0"/>
        </w:rPr>
        <w:t>图D</w:t>
      </w:r>
      <w:r>
        <w:rPr>
          <w:rFonts w:ascii="黑体" w:hAnsi="黑体" w:eastAsia="黑体"/>
          <w:kern w:val="0"/>
        </w:rPr>
        <w:t>.</w:t>
      </w:r>
      <w:r>
        <w:rPr>
          <w:rFonts w:hint="eastAsia" w:ascii="黑体" w:hAnsi="黑体" w:eastAsia="黑体"/>
          <w:kern w:val="0"/>
        </w:rPr>
        <w:t>2</w:t>
      </w:r>
      <w:r>
        <w:rPr>
          <w:rFonts w:ascii="黑体" w:hAnsi="黑体" w:eastAsia="黑体"/>
          <w:kern w:val="0"/>
        </w:rPr>
        <w:t xml:space="preserve"> </w:t>
      </w:r>
      <w:r>
        <w:rPr>
          <w:rFonts w:hint="eastAsia" w:ascii="黑体" w:hAnsi="黑体" w:eastAsia="黑体"/>
          <w:kern w:val="0"/>
        </w:rPr>
        <w:t>剪切夹具结构图</w:t>
      </w:r>
    </w:p>
    <w:p w14:paraId="17447FA4">
      <w:pPr>
        <w:pStyle w:val="89"/>
        <w:spacing w:before="156" w:after="156"/>
        <w:rPr>
          <w:rFonts w:ascii="宋体" w:hAnsi="宋体" w:eastAsia="宋体"/>
        </w:rPr>
      </w:pPr>
      <w:r>
        <w:rPr>
          <w:rFonts w:hint="eastAsia" w:ascii="宋体" w:hAnsi="宋体" w:eastAsia="宋体"/>
        </w:rPr>
        <w:t>量尺：钢尺，精确至1mm；游标卡尺，精确至0</w:t>
      </w:r>
      <w:r>
        <w:rPr>
          <w:rFonts w:ascii="宋体" w:hAnsi="宋体" w:eastAsia="宋体"/>
        </w:rPr>
        <w:t>.02mm</w:t>
      </w:r>
      <w:r>
        <w:rPr>
          <w:rFonts w:hint="eastAsia" w:ascii="宋体" w:hAnsi="宋体" w:eastAsia="宋体"/>
        </w:rPr>
        <w:t>。</w:t>
      </w:r>
    </w:p>
    <w:p w14:paraId="39E165EF">
      <w:pPr>
        <w:pStyle w:val="89"/>
        <w:spacing w:before="156" w:after="156"/>
        <w:rPr>
          <w:rFonts w:ascii="宋体" w:hAnsi="宋体" w:eastAsia="宋体"/>
        </w:rPr>
      </w:pPr>
      <w:r>
        <w:rPr>
          <w:rFonts w:hint="eastAsia" w:ascii="宋体" w:hAnsi="宋体" w:eastAsia="宋体"/>
        </w:rPr>
        <w:t>其他：恒温箱、刮刀等。</w:t>
      </w:r>
    </w:p>
    <w:p w14:paraId="171053E0">
      <w:pPr>
        <w:pStyle w:val="87"/>
        <w:spacing w:before="156" w:after="156"/>
      </w:pPr>
      <w:bookmarkStart w:id="459" w:name="_Toc183897588"/>
      <w:r>
        <w:rPr>
          <w:rFonts w:hint="eastAsia"/>
        </w:rPr>
        <w:t>准备工作</w:t>
      </w:r>
      <w:bookmarkEnd w:id="459"/>
    </w:p>
    <w:p w14:paraId="686E67E1">
      <w:pPr>
        <w:pStyle w:val="89"/>
        <w:spacing w:before="156" w:after="156"/>
        <w:rPr>
          <w:rFonts w:ascii="宋体" w:hAnsi="宋体" w:eastAsia="宋体"/>
        </w:rPr>
      </w:pPr>
      <w:r>
        <w:rPr>
          <w:rFonts w:hint="eastAsia" w:ascii="宋体" w:hAnsi="宋体" w:eastAsia="宋体"/>
        </w:rPr>
        <w:t>试件的准备分室内成型法与现场取芯法，对于室内成型方法步骤如下：</w:t>
      </w:r>
    </w:p>
    <w:p w14:paraId="3F3940D5">
      <w:pPr>
        <w:pStyle w:val="182"/>
        <w:numPr>
          <w:ilvl w:val="0"/>
          <w:numId w:val="41"/>
        </w:numPr>
        <w:rPr>
          <w:rFonts w:hAnsi="宋体"/>
        </w:rPr>
      </w:pPr>
      <w:r>
        <w:rPr>
          <w:rFonts w:hint="eastAsia" w:hAnsi="宋体"/>
        </w:rPr>
        <w:t>按照超薄罩面下承层沥青混合料级配与超薄罩面用沥青混合料级配进行马歇尔击实试验，试件尺寸满足φ101.5 mm±</w:t>
      </w:r>
      <w:r>
        <w:rPr>
          <w:rFonts w:hAnsi="宋体"/>
        </w:rPr>
        <w:t>0.2</w:t>
      </w:r>
      <w:r>
        <w:rPr>
          <w:rFonts w:hint="eastAsia" w:hAnsi="宋体"/>
        </w:rPr>
        <w:t xml:space="preserve"> mm，高度63.5 mm±1.3 mm要求，将试件按照路面设计厚度，进行切割，确保试件有一面具有路面纹理状态。每组至少成型3个试样，晾干，供试验用；</w:t>
      </w:r>
    </w:p>
    <w:p w14:paraId="12790C1D">
      <w:pPr>
        <w:pStyle w:val="182"/>
        <w:rPr>
          <w:rFonts w:hAnsi="宋体"/>
        </w:rPr>
      </w:pPr>
      <w:r>
        <w:rPr>
          <w:rFonts w:hint="eastAsia" w:hAnsi="宋体"/>
        </w:rPr>
        <w:t>将试件放入105℃烘箱中预热0.5 h，当采用高黏韧性改性沥青做粘结层时，将其加热至流动状态（烘箱185℃-190℃下保温15 min-30 min）。然后按照设计用量换算后将粘结层材料均匀快速涂覆于与界面处。采用压力机稍加竖向压力使三者完全贴合，力度大小以粘结层扩展至上下试件界面处外缘但未出现挤出为宜；</w:t>
      </w:r>
    </w:p>
    <w:p w14:paraId="48D27B1E">
      <w:pPr>
        <w:pStyle w:val="182"/>
        <w:rPr>
          <w:rFonts w:hAnsi="宋体"/>
        </w:rPr>
      </w:pPr>
      <w:r>
        <w:rPr>
          <w:rFonts w:hint="eastAsia" w:hAnsi="宋体"/>
        </w:rPr>
        <w:t>待粘结层材料完全冷却后，将剪切夹具和试件一起放置于（25±1）℃的恒温箱中保温4 h后备用。当选择其他温度时，应在报告中注明。</w:t>
      </w:r>
    </w:p>
    <w:p w14:paraId="4DCA0BC8">
      <w:pPr>
        <w:pStyle w:val="90"/>
        <w:numPr>
          <w:ilvl w:val="0"/>
          <w:numId w:val="0"/>
        </w:numPr>
        <w:spacing w:before="156" w:after="156"/>
        <w:ind w:firstLine="420" w:firstLineChars="200"/>
        <w:rPr>
          <w:rFonts w:ascii="宋体" w:hAnsi="宋体" w:eastAsia="宋体"/>
        </w:rPr>
      </w:pPr>
      <w:r>
        <w:rPr>
          <w:rFonts w:ascii="宋体" w:hAnsi="宋体" w:eastAsia="宋体"/>
        </w:rPr>
        <w:t>对于</w:t>
      </w:r>
      <w:r>
        <w:rPr>
          <w:rFonts w:hint="eastAsia" w:ascii="宋体" w:hAnsi="宋体" w:eastAsia="宋体"/>
        </w:rPr>
        <w:t>现场取芯方法步骤如下：</w:t>
      </w:r>
    </w:p>
    <w:p w14:paraId="5B32E859">
      <w:pPr>
        <w:pStyle w:val="182"/>
        <w:numPr>
          <w:ilvl w:val="0"/>
          <w:numId w:val="42"/>
        </w:numPr>
      </w:pPr>
      <w:r>
        <w:rPr>
          <w:rFonts w:hint="eastAsia"/>
        </w:rPr>
        <w:t>在路面达到开放交通条件后，采用钻芯机现场钻芯取样，需钻透原路面上面层，获取完整芯样，试件直径为1</w:t>
      </w:r>
      <w:r>
        <w:t>00</w:t>
      </w:r>
      <w:r>
        <w:rPr>
          <w:rFonts w:hint="eastAsia"/>
        </w:rPr>
        <w:t xml:space="preserve"> </w:t>
      </w:r>
      <w:r>
        <w:t>mm</w:t>
      </w:r>
      <w:r>
        <w:rPr>
          <w:rFonts w:hAnsi="宋体"/>
        </w:rPr>
        <w:t>±</w:t>
      </w:r>
      <w:r>
        <w:t>2</w:t>
      </w:r>
      <w:r>
        <w:rPr>
          <w:rFonts w:hint="eastAsia"/>
        </w:rPr>
        <w:t xml:space="preserve"> </w:t>
      </w:r>
      <w:r>
        <w:t>mm或</w:t>
      </w:r>
      <w:r>
        <w:rPr>
          <w:rFonts w:hint="eastAsia"/>
        </w:rPr>
        <w:t>150 mm±2 mm，超薄罩面层厚度不小于</w:t>
      </w:r>
      <w:r>
        <w:t>10</w:t>
      </w:r>
      <w:r>
        <w:rPr>
          <w:rFonts w:hint="eastAsia"/>
        </w:rPr>
        <w:t xml:space="preserve"> m</w:t>
      </w:r>
      <w:r>
        <w:t>m</w:t>
      </w:r>
      <w:r>
        <w:rPr>
          <w:rFonts w:hint="eastAsia"/>
        </w:rPr>
        <w:t>，下承层厚度不小于</w:t>
      </w:r>
      <w:r>
        <w:t>40</w:t>
      </w:r>
      <w:r>
        <w:rPr>
          <w:rFonts w:hint="eastAsia"/>
        </w:rPr>
        <w:t xml:space="preserve"> </w:t>
      </w:r>
      <w:r>
        <w:t>mm</w:t>
      </w:r>
      <w:r>
        <w:rPr>
          <w:rFonts w:hint="eastAsia"/>
        </w:rPr>
        <w:t>；</w:t>
      </w:r>
    </w:p>
    <w:p w14:paraId="4B087F5D">
      <w:pPr>
        <w:pStyle w:val="182"/>
      </w:pPr>
      <w:r>
        <w:rPr>
          <w:rFonts w:hint="eastAsia"/>
        </w:rPr>
        <w:t>参照标准规定的取芯检测频率进行钻芯取样，钻芯位置间距不小于200 mm。</w:t>
      </w:r>
    </w:p>
    <w:p w14:paraId="200AF53E">
      <w:pPr>
        <w:pStyle w:val="89"/>
        <w:spacing w:before="156" w:after="156"/>
        <w:rPr>
          <w:rFonts w:ascii="宋体" w:hAnsi="宋体" w:eastAsia="宋体"/>
        </w:rPr>
      </w:pPr>
      <w:r>
        <w:rPr>
          <w:rFonts w:hint="eastAsia" w:ascii="宋体" w:hAnsi="宋体" w:eastAsia="宋体"/>
        </w:rPr>
        <w:t>对芯样进行表面清洗、干燥24 h，供试验用。</w:t>
      </w:r>
    </w:p>
    <w:p w14:paraId="5F6F18EC">
      <w:pPr>
        <w:pStyle w:val="89"/>
        <w:spacing w:before="156" w:after="156"/>
        <w:rPr>
          <w:rFonts w:ascii="宋体" w:hAnsi="宋体" w:eastAsia="宋体"/>
        </w:rPr>
      </w:pPr>
      <w:r>
        <w:rPr>
          <w:rFonts w:hint="eastAsia" w:ascii="宋体" w:hAnsi="宋体" w:eastAsia="宋体"/>
        </w:rPr>
        <w:t>采用游标卡尺测量试件直径，准确至0.1 mm。</w:t>
      </w:r>
    </w:p>
    <w:p w14:paraId="441C07ED">
      <w:pPr>
        <w:pStyle w:val="89"/>
        <w:spacing w:before="156" w:after="156"/>
        <w:rPr>
          <w:rFonts w:ascii="宋体" w:hAnsi="宋体" w:eastAsia="宋体"/>
        </w:rPr>
      </w:pPr>
      <w:r>
        <w:rPr>
          <w:rFonts w:hint="eastAsia" w:ascii="宋体" w:hAnsi="宋体" w:eastAsia="宋体"/>
        </w:rPr>
        <w:t>将剪切夹具和试件一起放置于（25±1）℃的恒温箱中保温4 h后备用。当选择其他温度时，应在报告中注明。</w:t>
      </w:r>
    </w:p>
    <w:p w14:paraId="0268E20C">
      <w:pPr>
        <w:pStyle w:val="87"/>
        <w:spacing w:before="156" w:after="156"/>
      </w:pPr>
      <w:bookmarkStart w:id="460" w:name="_Toc183897589"/>
      <w:r>
        <w:rPr>
          <w:rFonts w:hint="eastAsia"/>
        </w:rPr>
        <w:t>试验步骤</w:t>
      </w:r>
      <w:bookmarkEnd w:id="460"/>
    </w:p>
    <w:p w14:paraId="0CB49CC3">
      <w:pPr>
        <w:pStyle w:val="89"/>
        <w:spacing w:before="156" w:after="156"/>
        <w:rPr>
          <w:rFonts w:ascii="宋体" w:hAnsi="宋体" w:eastAsia="宋体"/>
        </w:rPr>
      </w:pPr>
      <w:r>
        <w:rPr>
          <w:rFonts w:hint="eastAsia" w:ascii="宋体" w:hAnsi="宋体" w:eastAsia="宋体"/>
        </w:rPr>
        <w:t xml:space="preserve">将试件从恒温箱中取出，安放在下剪切环上，再安装上剪切环，调整试件位置，使粘结层位于上下剪切环的垂直间距之间，且上下剪切环的中间垂直间距小于5 </w:t>
      </w:r>
      <w:r>
        <w:rPr>
          <w:rFonts w:ascii="宋体" w:hAnsi="宋体" w:eastAsia="宋体"/>
        </w:rPr>
        <w:t>mm</w:t>
      </w:r>
      <w:r>
        <w:rPr>
          <w:rFonts w:hint="eastAsia" w:ascii="宋体" w:hAnsi="宋体" w:eastAsia="宋体"/>
        </w:rPr>
        <w:t>，同时调整前端上剪切环，使得其正好接触到试件表面。</w:t>
      </w:r>
    </w:p>
    <w:p w14:paraId="07EE9360">
      <w:pPr>
        <w:pStyle w:val="89"/>
        <w:spacing w:before="156" w:after="156"/>
        <w:rPr>
          <w:rFonts w:ascii="宋体" w:hAnsi="宋体" w:eastAsia="宋体"/>
        </w:rPr>
      </w:pPr>
      <w:r>
        <w:rPr>
          <w:rFonts w:hint="eastAsia" w:ascii="宋体" w:hAnsi="宋体" w:eastAsia="宋体"/>
        </w:rPr>
        <w:t>扣紧试件固定支撑部件。</w:t>
      </w:r>
    </w:p>
    <w:p w14:paraId="66988CA0">
      <w:pPr>
        <w:pStyle w:val="89"/>
        <w:spacing w:before="156" w:after="156"/>
        <w:rPr>
          <w:rFonts w:ascii="宋体" w:hAnsi="宋体" w:eastAsia="宋体"/>
        </w:rPr>
      </w:pPr>
      <w:r>
        <w:rPr>
          <w:rFonts w:hint="eastAsia" w:ascii="宋体" w:hAnsi="宋体" w:eastAsia="宋体"/>
        </w:rPr>
        <w:t>启动试验机，试验箱温度设置为2</w:t>
      </w:r>
      <w:r>
        <w:rPr>
          <w:rFonts w:ascii="宋体" w:hAnsi="宋体" w:eastAsia="宋体"/>
        </w:rPr>
        <w:t>5℃，待达到设定温度后，</w:t>
      </w:r>
      <w:r>
        <w:rPr>
          <w:rFonts w:hint="eastAsia" w:ascii="宋体" w:hAnsi="宋体" w:eastAsia="宋体"/>
        </w:rPr>
        <w:t>开始进行前端上剪切环应力加载，加载速率为5</w:t>
      </w:r>
      <w:r>
        <w:rPr>
          <w:rFonts w:ascii="宋体" w:hAnsi="宋体" w:eastAsia="宋体"/>
        </w:rPr>
        <w:t>0</w:t>
      </w:r>
      <w:r>
        <w:rPr>
          <w:rFonts w:hint="eastAsia" w:ascii="宋体" w:hAnsi="宋体" w:eastAsia="宋体"/>
        </w:rPr>
        <w:t xml:space="preserve"> m</w:t>
      </w:r>
      <w:r>
        <w:rPr>
          <w:rFonts w:ascii="宋体" w:hAnsi="宋体" w:eastAsia="宋体"/>
        </w:rPr>
        <w:t>m/min</w:t>
      </w:r>
      <w:r>
        <w:rPr>
          <w:rFonts w:hint="eastAsia" w:ascii="宋体" w:hAnsi="宋体" w:eastAsia="宋体"/>
        </w:rPr>
        <w:t>±</w:t>
      </w:r>
      <w:r>
        <w:rPr>
          <w:rFonts w:ascii="宋体" w:hAnsi="宋体" w:eastAsia="宋体"/>
        </w:rPr>
        <w:t>2</w:t>
      </w:r>
      <w:r>
        <w:rPr>
          <w:rFonts w:hint="eastAsia" w:ascii="宋体" w:hAnsi="宋体" w:eastAsia="宋体"/>
        </w:rPr>
        <w:t xml:space="preserve"> m</w:t>
      </w:r>
      <w:r>
        <w:rPr>
          <w:rFonts w:ascii="宋体" w:hAnsi="宋体" w:eastAsia="宋体"/>
        </w:rPr>
        <w:t>m/min</w:t>
      </w:r>
      <w:r>
        <w:rPr>
          <w:rFonts w:hint="eastAsia" w:ascii="宋体" w:hAnsi="宋体" w:eastAsia="宋体"/>
        </w:rPr>
        <w:t>。</w:t>
      </w:r>
    </w:p>
    <w:p w14:paraId="0557C101">
      <w:pPr>
        <w:pStyle w:val="89"/>
        <w:spacing w:before="156" w:after="156"/>
        <w:rPr>
          <w:rFonts w:ascii="宋体" w:hAnsi="宋体" w:eastAsia="宋体"/>
        </w:rPr>
      </w:pPr>
      <w:r>
        <w:rPr>
          <w:rFonts w:hint="eastAsia" w:ascii="宋体" w:hAnsi="宋体" w:eastAsia="宋体"/>
        </w:rPr>
        <w:t>当压力出现峰值后，试验终止，</w:t>
      </w:r>
      <w:r>
        <w:rPr>
          <w:rFonts w:ascii="宋体" w:hAnsi="宋体" w:eastAsia="宋体"/>
        </w:rPr>
        <w:t>自动</w:t>
      </w:r>
      <w:r>
        <w:rPr>
          <w:rFonts w:hint="eastAsia" w:ascii="宋体" w:hAnsi="宋体" w:eastAsia="宋体"/>
        </w:rPr>
        <w:t>记录最大压力值及对应的位移，压力值准确至</w:t>
      </w:r>
      <w:r>
        <w:rPr>
          <w:rFonts w:ascii="宋体" w:hAnsi="宋体" w:eastAsia="宋体"/>
        </w:rPr>
        <w:t>1</w:t>
      </w:r>
      <w:r>
        <w:rPr>
          <w:rFonts w:hint="eastAsia" w:ascii="宋体" w:hAnsi="宋体" w:eastAsia="宋体"/>
        </w:rPr>
        <w:t xml:space="preserve"> </w:t>
      </w:r>
      <w:r>
        <w:rPr>
          <w:rFonts w:ascii="宋体" w:hAnsi="宋体" w:eastAsia="宋体"/>
        </w:rPr>
        <w:t>N</w:t>
      </w:r>
      <w:r>
        <w:rPr>
          <w:rFonts w:hint="eastAsia" w:ascii="宋体" w:hAnsi="宋体" w:eastAsia="宋体"/>
        </w:rPr>
        <w:t>，位移准确至0</w:t>
      </w:r>
      <w:r>
        <w:rPr>
          <w:rFonts w:ascii="宋体" w:hAnsi="宋体" w:eastAsia="宋体"/>
        </w:rPr>
        <w:t>.1</w:t>
      </w:r>
      <w:r>
        <w:rPr>
          <w:rFonts w:hint="eastAsia" w:ascii="宋体" w:hAnsi="宋体" w:eastAsia="宋体"/>
        </w:rPr>
        <w:t xml:space="preserve"> </w:t>
      </w:r>
      <w:r>
        <w:rPr>
          <w:rFonts w:ascii="宋体" w:hAnsi="宋体" w:eastAsia="宋体"/>
        </w:rPr>
        <w:t>mm</w:t>
      </w:r>
      <w:r>
        <w:rPr>
          <w:rFonts w:hint="eastAsia" w:ascii="宋体" w:hAnsi="宋体" w:eastAsia="宋体"/>
        </w:rPr>
        <w:t>，并生成位移-荷载曲线，如图D</w:t>
      </w:r>
      <w:r>
        <w:rPr>
          <w:rFonts w:ascii="宋体" w:hAnsi="宋体" w:eastAsia="宋体"/>
        </w:rPr>
        <w:t>.3所示</w:t>
      </w:r>
      <w:r>
        <w:rPr>
          <w:rFonts w:hint="eastAsia" w:ascii="宋体" w:hAnsi="宋体" w:eastAsia="宋体"/>
        </w:rPr>
        <w:t>。</w:t>
      </w:r>
    </w:p>
    <w:p w14:paraId="1293FF02">
      <w:pPr>
        <w:widowControl/>
        <w:spacing w:before="156" w:beforeLines="50" w:after="156" w:afterLines="50" w:line="240" w:lineRule="auto"/>
        <w:ind w:left="79" w:right="78" w:rightChars="37"/>
        <w:jc w:val="center"/>
        <w:rPr>
          <w:kern w:val="0"/>
        </w:rPr>
      </w:pPr>
      <w:r>
        <w:drawing>
          <wp:inline distT="0" distB="0" distL="0" distR="0">
            <wp:extent cx="4634230" cy="21005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25"/>
                    <a:stretch>
                      <a:fillRect/>
                    </a:stretch>
                  </pic:blipFill>
                  <pic:spPr>
                    <a:xfrm>
                      <a:off x="0" y="0"/>
                      <a:ext cx="4653344" cy="2109407"/>
                    </a:xfrm>
                    <a:prstGeom prst="rect">
                      <a:avLst/>
                    </a:prstGeom>
                  </pic:spPr>
                </pic:pic>
              </a:graphicData>
            </a:graphic>
          </wp:inline>
        </w:drawing>
      </w:r>
    </w:p>
    <w:p w14:paraId="52AAB9AE">
      <w:pPr>
        <w:widowControl/>
        <w:spacing w:before="156" w:beforeLines="50" w:after="156" w:afterLines="50"/>
        <w:ind w:left="78"/>
        <w:jc w:val="center"/>
        <w:rPr>
          <w:rFonts w:ascii="黑体" w:hAnsi="黑体" w:eastAsia="黑体"/>
          <w:kern w:val="0"/>
        </w:rPr>
      </w:pPr>
      <w:r>
        <w:rPr>
          <w:rFonts w:hint="eastAsia" w:ascii="黑体" w:hAnsi="黑体" w:eastAsia="黑体"/>
          <w:kern w:val="0"/>
        </w:rPr>
        <w:t>图D.</w:t>
      </w:r>
      <w:r>
        <w:rPr>
          <w:rFonts w:ascii="黑体" w:hAnsi="黑体" w:eastAsia="黑体"/>
          <w:kern w:val="0"/>
        </w:rPr>
        <w:t>3</w:t>
      </w:r>
      <w:r>
        <w:rPr>
          <w:rFonts w:hint="eastAsia" w:ascii="黑体" w:hAnsi="黑体" w:eastAsia="黑体"/>
          <w:kern w:val="0"/>
        </w:rPr>
        <w:t>直剪试验位移-荷载曲线图</w:t>
      </w:r>
    </w:p>
    <w:p w14:paraId="7AA22CC3">
      <w:pPr>
        <w:pStyle w:val="89"/>
        <w:spacing w:before="156" w:after="156"/>
        <w:rPr>
          <w:rFonts w:ascii="宋体" w:hAnsi="宋体" w:eastAsia="宋体"/>
        </w:rPr>
      </w:pPr>
      <w:r>
        <w:rPr>
          <w:rFonts w:hint="eastAsia" w:ascii="宋体" w:hAnsi="宋体" w:eastAsia="宋体"/>
        </w:rPr>
        <w:t>观察断裂面，并详细记录。</w:t>
      </w:r>
    </w:p>
    <w:p w14:paraId="3A9C2BE7">
      <w:pPr>
        <w:pStyle w:val="87"/>
        <w:spacing w:before="156" w:after="156"/>
      </w:pPr>
      <w:bookmarkStart w:id="461" w:name="_Toc109140544"/>
      <w:bookmarkStart w:id="462" w:name="_Toc183897590"/>
      <w:r>
        <w:t>结果计算</w:t>
      </w:r>
      <w:bookmarkEnd w:id="461"/>
      <w:bookmarkEnd w:id="462"/>
    </w:p>
    <w:p w14:paraId="144D0886">
      <w:pPr>
        <w:ind w:firstLine="420" w:firstLineChars="200"/>
      </w:pPr>
      <w:r>
        <w:rPr>
          <w:rFonts w:hint="eastAsia"/>
        </w:rPr>
        <w:t>将</w:t>
      </w:r>
      <w:r>
        <w:t>实测的最大拉力和实测试件直径</w:t>
      </w:r>
      <w:r>
        <w:rPr>
          <w:rFonts w:hint="eastAsia"/>
        </w:rPr>
        <w:t>，</w:t>
      </w:r>
      <w:r>
        <w:t>按</w:t>
      </w:r>
      <w:r>
        <w:rPr>
          <w:rFonts w:hint="eastAsia"/>
        </w:rPr>
        <w:t>公</w:t>
      </w:r>
      <w:r>
        <w:t>式</w:t>
      </w:r>
      <w:r>
        <w:rPr>
          <w:rFonts w:hint="eastAsia" w:ascii="宋体" w:hAnsi="宋体" w:cs="宋体"/>
        </w:rPr>
        <w:t>（D.2）</w:t>
      </w:r>
      <w:r>
        <w:t>计算</w:t>
      </w:r>
      <w:r>
        <w:rPr>
          <w:rFonts w:hint="eastAsia"/>
        </w:rPr>
        <w:t>剪切强度</w:t>
      </w:r>
      <w:r>
        <w:t>。</w:t>
      </w:r>
    </w:p>
    <w:p w14:paraId="6A4CBAB8">
      <w:pPr>
        <w:pStyle w:val="121"/>
      </w:pPr>
      <w:r>
        <w:rPr>
          <w:rFonts w:hint="eastAsia"/>
        </w:rPr>
        <w:tab/>
      </w:r>
      <m:oMath>
        <m:sSub>
          <m:sSubPr>
            <m:ctrlPr>
              <w:rPr>
                <w:rFonts w:ascii="Cambria Math" w:hAnsi="Cambria Math"/>
                <w:i/>
              </w:rPr>
            </m:ctrlPr>
          </m:sSubPr>
          <m:e>
            <m:r>
              <m:rPr/>
              <w:rPr>
                <w:rFonts w:ascii="Cambria Math"/>
              </w:rPr>
              <m:t>τ</m:t>
            </m:r>
            <m:ctrlPr>
              <w:rPr>
                <w:rFonts w:ascii="Cambria Math" w:hAnsi="Cambria Math"/>
                <w:i/>
              </w:rPr>
            </m:ctrlPr>
          </m:e>
          <m:sub>
            <m:r>
              <m:rPr/>
              <w:rPr>
                <w:rFonts w:ascii="Cambria Math"/>
              </w:rPr>
              <m:t>TBT</m:t>
            </m:r>
            <m:ctrlPr>
              <w:rPr>
                <w:rFonts w:ascii="Cambria Math" w:hAnsi="Cambria Math"/>
                <w:i/>
              </w:rPr>
            </m:ctrlPr>
          </m:sub>
        </m:sSub>
        <m:r>
          <m:rPr/>
          <w:rPr>
            <w:rFonts w:ascii="Cambria Math"/>
          </w:rPr>
          <m:t>=</m:t>
        </m:r>
        <m:f>
          <m:fPr>
            <m:ctrlPr>
              <w:rPr>
                <w:rFonts w:ascii="Cambria Math" w:hAnsi="Cambria Math"/>
                <w:i/>
              </w:rPr>
            </m:ctrlPr>
          </m:fPr>
          <m:num>
            <m:r>
              <m:rPr/>
              <w:rPr>
                <w:rFonts w:ascii="Cambria Math"/>
              </w:rPr>
              <m:t>4F</m:t>
            </m:r>
            <m:ctrlPr>
              <w:rPr>
                <w:rFonts w:ascii="Cambria Math" w:hAnsi="Cambria Math"/>
                <w:i/>
              </w:rPr>
            </m:ctrlPr>
          </m:num>
          <m:den>
            <m:r>
              <m:rPr/>
              <w:rPr>
                <w:rFonts w:ascii="Cambria Math"/>
              </w:rPr>
              <m:t>π</m:t>
            </m:r>
            <m:sSup>
              <m:sSupPr>
                <m:ctrlPr>
                  <w:rPr>
                    <w:rFonts w:ascii="Cambria Math" w:hAnsi="Cambria Math"/>
                    <w:i/>
                  </w:rPr>
                </m:ctrlPr>
              </m:sSupPr>
              <m:e>
                <m:r>
                  <m:rPr/>
                  <w:rPr>
                    <w:rFonts w:ascii="Cambria Math"/>
                  </w:rPr>
                  <m:t>D</m:t>
                </m:r>
                <m:ctrlPr>
                  <w:rPr>
                    <w:rFonts w:ascii="Cambria Math" w:hAnsi="Cambria Math"/>
                    <w:i/>
                  </w:rPr>
                </m:ctrlPr>
              </m:e>
              <m:sup>
                <m:r>
                  <m:rPr/>
                  <w:rPr>
                    <w:rFonts w:ascii="Cambria Math"/>
                  </w:rPr>
                  <m:t>2</m:t>
                </m:r>
                <m:ctrlPr>
                  <w:rPr>
                    <w:rFonts w:ascii="Cambria Math" w:hAnsi="Cambria Math"/>
                    <w:i/>
                  </w:rPr>
                </m:ctrlPr>
              </m:sup>
            </m:sSup>
            <m:ctrlPr>
              <w:rPr>
                <w:rFonts w:ascii="Cambria Math" w:hAnsi="Cambria Math"/>
                <w:i/>
              </w:rPr>
            </m:ctrlPr>
          </m:den>
        </m:f>
        <m:r>
          <m:rPr/>
          <w:rPr>
            <w:rFonts w:ascii="Cambria Math" w:hAnsi="Cambria Math"/>
          </w:rPr>
          <m:t xml:space="preserve"> </m:t>
        </m:r>
      </m:oMath>
      <w:r>
        <w:rPr>
          <w:rFonts w:hint="eastAsia" w:ascii="微软雅黑" w:hAnsi="微软雅黑" w:eastAsia="微软雅黑"/>
        </w:rPr>
        <w:tab/>
      </w:r>
      <w:r>
        <w:t>(D.</w:t>
      </w:r>
      <w:r>
        <w:fldChar w:fldCharType="begin"/>
      </w:r>
      <w:r>
        <w:instrText xml:space="preserve">  seq fulu_equation_133774481744094392  </w:instrText>
      </w:r>
      <w:r>
        <w:fldChar w:fldCharType="separate"/>
      </w:r>
      <w:r>
        <w:rPr>
          <w:rFonts w:hint="eastAsia"/>
        </w:rPr>
        <w:t>2</w:t>
      </w:r>
      <w:r>
        <w:rPr>
          <w:rFonts w:hint="eastAsia"/>
        </w:rPr>
        <w:fldChar w:fldCharType="end"/>
      </w:r>
      <w:r>
        <w:t>)</w:t>
      </w:r>
    </w:p>
    <w:p w14:paraId="1CA40DF8">
      <w:pPr>
        <w:pStyle w:val="63"/>
        <w:ind w:firstLine="420"/>
      </w:pPr>
      <w:r>
        <w:rPr>
          <w:rFonts w:hint="eastAsia"/>
        </w:rPr>
        <w:t>式中：</w:t>
      </w:r>
    </w:p>
    <w:p w14:paraId="5CB8B6DD">
      <w:pPr>
        <w:ind w:firstLine="630" w:firstLineChars="300"/>
        <w:rPr>
          <w:rFonts w:ascii="宋体" w:hAnsi="宋体"/>
        </w:rPr>
      </w:pPr>
      <m:oMath>
        <m:sSub>
          <m:sSubPr>
            <m:ctrlPr>
              <w:rPr>
                <w:rFonts w:ascii="Cambria Math" w:hAnsi="Cambria Math"/>
                <w:i/>
              </w:rPr>
            </m:ctrlPr>
          </m:sSubPr>
          <m:e>
            <m:r>
              <m:rPr/>
              <w:rPr>
                <w:rFonts w:ascii="Cambria Math" w:hAnsi="Cambria Math"/>
              </w:rPr>
              <m:t>τ</m:t>
            </m:r>
            <m:ctrlPr>
              <w:rPr>
                <w:rFonts w:ascii="Cambria Math" w:hAnsi="Cambria Math"/>
                <w:i/>
              </w:rPr>
            </m:ctrlPr>
          </m:e>
          <m:sub>
            <m:r>
              <m:rPr/>
              <w:rPr>
                <w:rFonts w:ascii="Cambria Math" w:hAnsi="Cambria Math"/>
              </w:rPr>
              <m:t>TBT</m:t>
            </m:r>
            <m:ctrlPr>
              <w:rPr>
                <w:rFonts w:ascii="Cambria Math" w:hAnsi="宋体"/>
                <w:i/>
              </w:rPr>
            </m:ctrlPr>
          </m:sub>
        </m:sSub>
      </m:oMath>
      <w:r>
        <w:rPr>
          <w:rFonts w:ascii="Times New Roman" w:hAnsi="Times New Roman"/>
          <w:i/>
          <w:kern w:val="0"/>
        </w:rPr>
        <w:t>——</w:t>
      </w:r>
      <w:r>
        <w:rPr>
          <w:rFonts w:ascii="宋体" w:hAnsi="宋体"/>
        </w:rPr>
        <w:t>剪切强度</w:t>
      </w:r>
      <w:r>
        <w:rPr>
          <w:rFonts w:hint="eastAsia" w:ascii="宋体" w:hAnsi="宋体"/>
        </w:rPr>
        <w:t>，单位为兆帕（</w:t>
      </w:r>
      <w:r>
        <w:rPr>
          <w:rFonts w:ascii="宋体" w:hAnsi="宋体"/>
        </w:rPr>
        <w:t>MPa</w:t>
      </w:r>
      <w:r>
        <w:rPr>
          <w:rFonts w:hint="eastAsia" w:ascii="宋体" w:hAnsi="宋体"/>
        </w:rPr>
        <w:t>）；</w:t>
      </w:r>
    </w:p>
    <w:p w14:paraId="354C18F9">
      <w:pPr>
        <w:ind w:firstLine="630" w:firstLineChars="300"/>
        <w:rPr>
          <w:rFonts w:ascii="宋体" w:hAnsi="宋体"/>
        </w:rPr>
      </w:pPr>
      <w:r>
        <w:rPr>
          <w:rFonts w:ascii="宋体" w:hAnsi="宋体"/>
        </w:rPr>
        <w:t>F</w:t>
      </w:r>
      <w:r>
        <w:rPr>
          <w:rFonts w:ascii="Times New Roman" w:hAnsi="Times New Roman"/>
          <w:i/>
          <w:kern w:val="0"/>
        </w:rPr>
        <w:t>——</w:t>
      </w:r>
      <w:r>
        <w:rPr>
          <w:rFonts w:ascii="宋体" w:hAnsi="宋体"/>
        </w:rPr>
        <w:t>最大</w:t>
      </w:r>
      <w:r>
        <w:rPr>
          <w:rFonts w:hint="eastAsia" w:ascii="宋体" w:hAnsi="宋体"/>
        </w:rPr>
        <w:t>压</w:t>
      </w:r>
      <w:r>
        <w:rPr>
          <w:rFonts w:ascii="宋体" w:hAnsi="宋体"/>
        </w:rPr>
        <w:t>力</w:t>
      </w:r>
      <w:r>
        <w:rPr>
          <w:rFonts w:hint="eastAsia" w:ascii="宋体" w:hAnsi="宋体"/>
        </w:rPr>
        <w:t>值，单位为牛（</w:t>
      </w:r>
      <w:r>
        <w:rPr>
          <w:rFonts w:ascii="宋体" w:hAnsi="宋体"/>
        </w:rPr>
        <w:t>N</w:t>
      </w:r>
      <w:r>
        <w:rPr>
          <w:rFonts w:hint="eastAsia" w:ascii="宋体" w:hAnsi="宋体"/>
        </w:rPr>
        <w:t>）；</w:t>
      </w:r>
    </w:p>
    <w:p w14:paraId="4366D662">
      <w:pPr>
        <w:ind w:firstLine="630" w:firstLineChars="300"/>
        <w:rPr>
          <w:rFonts w:ascii="宋体" w:hAnsi="宋体"/>
        </w:rPr>
      </w:pPr>
      <w:r>
        <w:rPr>
          <w:rFonts w:ascii="宋体" w:hAnsi="宋体"/>
        </w:rPr>
        <w:t>D</w:t>
      </w:r>
      <w:r>
        <w:rPr>
          <w:rFonts w:ascii="Times New Roman" w:hAnsi="Times New Roman"/>
          <w:i/>
          <w:kern w:val="0"/>
        </w:rPr>
        <w:t>——</w:t>
      </w:r>
      <w:r>
        <w:rPr>
          <w:rFonts w:hint="eastAsia" w:ascii="宋体" w:hAnsi="宋体"/>
        </w:rPr>
        <w:t>实测</w:t>
      </w:r>
      <w:r>
        <w:rPr>
          <w:rFonts w:ascii="宋体" w:hAnsi="宋体"/>
        </w:rPr>
        <w:t>试件直径</w:t>
      </w:r>
      <w:r>
        <w:rPr>
          <w:rFonts w:hint="eastAsia" w:ascii="宋体" w:hAnsi="宋体"/>
        </w:rPr>
        <w:t>，单位为毫米（</w:t>
      </w:r>
      <w:r>
        <w:rPr>
          <w:rFonts w:ascii="宋体" w:hAnsi="宋体"/>
        </w:rPr>
        <w:t>mm</w:t>
      </w:r>
      <w:r>
        <w:rPr>
          <w:rFonts w:hint="eastAsia" w:ascii="宋体" w:hAnsi="宋体"/>
        </w:rPr>
        <w:t>）。</w:t>
      </w:r>
    </w:p>
    <w:p w14:paraId="5B3B43D8">
      <w:pPr>
        <w:pStyle w:val="87"/>
        <w:spacing w:before="156" w:after="156"/>
      </w:pPr>
      <w:bookmarkStart w:id="463" w:name="_Toc183897591"/>
      <w:r>
        <w:rPr>
          <w:rFonts w:hint="eastAsia"/>
        </w:rPr>
        <w:t>报告</w:t>
      </w:r>
      <w:bookmarkEnd w:id="463"/>
    </w:p>
    <w:p w14:paraId="0BA691EF">
      <w:pPr>
        <w:pStyle w:val="64"/>
        <w:ind w:firstLine="420"/>
      </w:pPr>
      <w:r>
        <w:t>本方法应报告以下内容：</w:t>
      </w:r>
    </w:p>
    <w:p w14:paraId="103936D9">
      <w:pPr>
        <w:pStyle w:val="182"/>
        <w:numPr>
          <w:ilvl w:val="0"/>
          <w:numId w:val="43"/>
        </w:numPr>
      </w:pPr>
      <w:r>
        <w:t>路面现场取芯测试位置信息（</w:t>
      </w:r>
      <w:r>
        <w:rPr>
          <w:rFonts w:hint="eastAsia"/>
        </w:rPr>
        <w:t>如有</w:t>
      </w:r>
      <w:r>
        <w:t>应标注工程名称、现场桩号、材料和结构的情况等）</w:t>
      </w:r>
      <w:r>
        <w:rPr>
          <w:rFonts w:hint="eastAsia"/>
        </w:rPr>
        <w:t>；</w:t>
      </w:r>
    </w:p>
    <w:p w14:paraId="7DF9DF12">
      <w:pPr>
        <w:pStyle w:val="182"/>
      </w:pPr>
      <w:r>
        <w:rPr>
          <w:rFonts w:hint="eastAsia"/>
        </w:rPr>
        <w:t>剪切</w:t>
      </w:r>
      <w:r>
        <w:t>强度值</w:t>
      </w:r>
      <w:r>
        <w:rPr>
          <w:rFonts w:hint="eastAsia"/>
        </w:rPr>
        <w:t>；</w:t>
      </w:r>
    </w:p>
    <w:p w14:paraId="75EFB73D">
      <w:pPr>
        <w:pStyle w:val="182"/>
      </w:pPr>
      <w:r>
        <w:t>破坏断面情况</w:t>
      </w:r>
      <w:r>
        <w:rPr>
          <w:rFonts w:hint="eastAsia"/>
        </w:rPr>
        <w:t>。</w:t>
      </w:r>
    </w:p>
    <w:p w14:paraId="08558930">
      <w:pPr>
        <w:pStyle w:val="238"/>
      </w:pPr>
    </w:p>
    <w:p w14:paraId="547CAAD0">
      <w:pPr>
        <w:pStyle w:val="64"/>
        <w:ind w:firstLine="420"/>
      </w:pPr>
    </w:p>
    <w:bookmarkEnd w:id="25"/>
    <w:p w14:paraId="3756100E">
      <w:pPr>
        <w:pStyle w:val="64"/>
        <w:ind w:firstLine="420"/>
        <w:sectPr>
          <w:pgSz w:w="11906" w:h="16838"/>
          <w:pgMar w:top="1928" w:right="1134" w:bottom="1134" w:left="1134" w:header="1418" w:footer="1134" w:gutter="284"/>
          <w:cols w:space="425" w:num="1"/>
          <w:formProt w:val="0"/>
          <w:docGrid w:type="lines" w:linePitch="312" w:charSpace="0"/>
        </w:sectPr>
      </w:pPr>
      <w:bookmarkStart w:id="464" w:name="BookMark6"/>
    </w:p>
    <w:p w14:paraId="26E6519B">
      <w:pPr>
        <w:pStyle w:val="71"/>
        <w:spacing w:after="156"/>
      </w:pPr>
      <w:r>
        <w:rPr>
          <w:rFonts w:hint="eastAsia"/>
          <w:spacing w:val="105"/>
        </w:rPr>
        <w:t>参考文</w:t>
      </w:r>
      <w:r>
        <w:rPr>
          <w:rFonts w:hint="eastAsia"/>
        </w:rPr>
        <w:t>献</w:t>
      </w:r>
    </w:p>
    <w:p w14:paraId="20407137">
      <w:pPr>
        <w:pStyle w:val="64"/>
        <w:ind w:firstLine="420"/>
      </w:pPr>
      <w:r>
        <w:rPr>
          <w:rFonts w:hint="eastAsia"/>
        </w:rPr>
        <w:t>[1] JTG/T 5142-01—2021 公路沥青路面预防养护技术规范</w:t>
      </w:r>
    </w:p>
    <w:bookmarkEnd w:id="464"/>
    <w:p w14:paraId="674EB37D">
      <w:pPr>
        <w:pStyle w:val="64"/>
        <w:ind w:firstLine="0" w:firstLineChars="0"/>
        <w:jc w:val="center"/>
      </w:pPr>
      <w:bookmarkStart w:id="465" w:name="BookMark8"/>
      <w:r>
        <w:drawing>
          <wp:inline distT="0" distB="0" distL="0" distR="0">
            <wp:extent cx="1485900" cy="317500"/>
            <wp:effectExtent l="0" t="0" r="0" b="6350"/>
            <wp:docPr id="892973985" name="图片 3"/>
            <wp:cNvGraphicFramePr/>
            <a:graphic xmlns:a="http://schemas.openxmlformats.org/drawingml/2006/main">
              <a:graphicData uri="http://schemas.openxmlformats.org/drawingml/2006/picture">
                <pic:pic xmlns:pic="http://schemas.openxmlformats.org/drawingml/2006/picture">
                  <pic:nvPicPr>
                    <pic:cNvPr id="892973985" name="图片 3"/>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78E69">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61622">
    <w:pPr>
      <w:pStyle w:val="22"/>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05636">
    <w:pPr>
      <w:pStyle w:val="22"/>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366FD">
    <w:pPr>
      <w:pStyle w:val="60"/>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C6196">
    <w:pPr>
      <w:pStyle w:val="23"/>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4A664">
    <w:pPr>
      <w:pStyle w:val="2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68814">
    <w:pPr>
      <w:pStyle w:val="23"/>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FFF1F">
    <w:pPr>
      <w:pStyle w:val="69"/>
    </w:pPr>
    <w:r>
      <w:fldChar w:fldCharType="begin"/>
    </w:r>
    <w:r>
      <w:instrText xml:space="preserve"> STYLEREF  标准文件_文件编号  \* MERGEFORMAT </w:instrText>
    </w:r>
    <w:r>
      <w:fldChar w:fldCharType="separate"/>
    </w:r>
    <w:r>
      <w:t>DB 37/T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0CFB1">
    <w:pPr>
      <w:pStyle w:val="23"/>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37/T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2"/>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7"/>
      <w:suff w:val="nothing"/>
      <w:lvlText w:val="%1%2.%3　"/>
      <w:lvlJc w:val="left"/>
      <w:pPr>
        <w:ind w:left="0" w:firstLine="0"/>
      </w:pPr>
    </w:lvl>
    <w:lvl w:ilvl="3" w:tentative="0">
      <w:start w:val="1"/>
      <w:numFmt w:val="decimal"/>
      <w:pStyle w:val="126"/>
      <w:suff w:val="nothing"/>
      <w:lvlText w:val="%1%2.%3.%4　"/>
      <w:lvlJc w:val="left"/>
      <w:pPr>
        <w:ind w:left="0" w:firstLine="0"/>
      </w:pPr>
    </w:lvl>
    <w:lvl w:ilvl="4" w:tentative="0">
      <w:start w:val="1"/>
      <w:numFmt w:val="decimal"/>
      <w:pStyle w:val="161"/>
      <w:suff w:val="nothing"/>
      <w:lvlText w:val="%1%2.%3.%4.%5　"/>
      <w:lvlJc w:val="left"/>
      <w:pPr>
        <w:ind w:left="0" w:firstLine="0"/>
      </w:pPr>
    </w:lvl>
    <w:lvl w:ilvl="5" w:tentative="0">
      <w:start w:val="1"/>
      <w:numFmt w:val="decimal"/>
      <w:pStyle w:val="163"/>
      <w:suff w:val="nothing"/>
      <w:lvlText w:val="%1%2.%3.%4.%5.%6　"/>
      <w:lvlJc w:val="left"/>
      <w:pPr>
        <w:ind w:left="0" w:firstLine="0"/>
      </w:pPr>
    </w:lvl>
    <w:lvl w:ilvl="6" w:tentative="0">
      <w:start w:val="1"/>
      <w:numFmt w:val="decimal"/>
      <w:pStyle w:val="166"/>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8"/>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7"/>
      <w:lvlText w:val="%1"/>
      <w:lvlJc w:val="left"/>
      <w:pPr>
        <w:ind w:left="425" w:hanging="425"/>
      </w:pPr>
      <w:rPr>
        <w:rFonts w:hint="eastAsia"/>
      </w:rPr>
    </w:lvl>
    <w:lvl w:ilvl="1" w:tentative="0">
      <w:start w:val="1"/>
      <w:numFmt w:val="decimal"/>
      <w:pStyle w:val="208"/>
      <w:suff w:val="nothing"/>
      <w:lvlText w:val="%10.%2 "/>
      <w:lvlJc w:val="left"/>
      <w:pPr>
        <w:ind w:left="0" w:firstLine="0"/>
      </w:pPr>
      <w:rPr>
        <w:rFonts w:hint="eastAsia" w:ascii="黑体" w:eastAsia="黑体" w:hAnsiTheme="minorHAnsi"/>
        <w:b w:val="0"/>
        <w:i w:val="0"/>
        <w:sz w:val="21"/>
      </w:rPr>
    </w:lvl>
    <w:lvl w:ilvl="2" w:tentative="0">
      <w:start w:val="1"/>
      <w:numFmt w:val="decimal"/>
      <w:pStyle w:val="209"/>
      <w:suff w:val="nothing"/>
      <w:lvlText w:val="%10.%2.%3 "/>
      <w:lvlJc w:val="left"/>
      <w:pPr>
        <w:ind w:left="0" w:firstLine="0"/>
      </w:pPr>
      <w:rPr>
        <w:rFonts w:hint="eastAsia" w:ascii="黑体" w:eastAsia="黑体" w:hAnsiTheme="minorHAnsi"/>
        <w:b w:val="0"/>
        <w:i w:val="0"/>
        <w:sz w:val="21"/>
      </w:rPr>
    </w:lvl>
    <w:lvl w:ilvl="3" w:tentative="0">
      <w:start w:val="1"/>
      <w:numFmt w:val="decimal"/>
      <w:pStyle w:val="210"/>
      <w:suff w:val="nothing"/>
      <w:lvlText w:val="%10.%2.%3.%4 "/>
      <w:lvlJc w:val="left"/>
      <w:pPr>
        <w:ind w:left="0" w:firstLine="0"/>
      </w:pPr>
      <w:rPr>
        <w:rFonts w:hint="eastAsia" w:ascii="黑体" w:eastAsia="黑体" w:hAnsiTheme="minorHAnsi"/>
        <w:b w:val="0"/>
        <w:i w:val="0"/>
        <w:sz w:val="21"/>
      </w:rPr>
    </w:lvl>
    <w:lvl w:ilvl="4" w:tentative="0">
      <w:start w:val="1"/>
      <w:numFmt w:val="decimal"/>
      <w:pStyle w:val="211"/>
      <w:suff w:val="nothing"/>
      <w:lvlText w:val="%10.%2.%3.%4.%5 "/>
      <w:lvlJc w:val="left"/>
      <w:pPr>
        <w:ind w:left="0" w:firstLine="0"/>
      </w:pPr>
      <w:rPr>
        <w:rFonts w:hint="eastAsia" w:ascii="黑体" w:eastAsia="黑体" w:hAnsiTheme="minorHAnsi"/>
        <w:b w:val="0"/>
        <w:i w:val="0"/>
        <w:sz w:val="21"/>
      </w:rPr>
    </w:lvl>
    <w:lvl w:ilvl="5" w:tentative="0">
      <w:start w:val="1"/>
      <w:numFmt w:val="decimal"/>
      <w:pStyle w:val="212"/>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9"/>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5"/>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7"/>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8"/>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100"/>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4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50"/>
      <w:suff w:val="nothing"/>
      <w:lvlText w:val="%1.%2.%3　"/>
      <w:lvlJc w:val="left"/>
      <w:pPr>
        <w:ind w:left="567" w:hanging="567"/>
      </w:pPr>
      <w:rPr>
        <w:rFonts w:hint="eastAsia" w:ascii="黑体" w:hAnsi="Times New Roman" w:eastAsia="黑体"/>
        <w:b w:val="0"/>
        <w:i w:val="0"/>
        <w:color w:val="auto"/>
        <w:sz w:val="21"/>
      </w:rPr>
    </w:lvl>
    <w:lvl w:ilvl="3" w:tentative="0">
      <w:start w:val="1"/>
      <w:numFmt w:val="decimal"/>
      <w:pStyle w:val="251"/>
      <w:suff w:val="nothing"/>
      <w:lvlText w:val="%1.%2.%3.%4　"/>
      <w:lvlJc w:val="left"/>
      <w:pPr>
        <w:ind w:left="2269" w:firstLine="0"/>
      </w:pPr>
      <w:rPr>
        <w:rFonts w:hint="eastAsia" w:ascii="黑体" w:hAnsi="Times New Roman" w:eastAsia="黑体"/>
        <w:b w:val="0"/>
        <w:i w:val="0"/>
        <w:sz w:val="21"/>
      </w:rPr>
    </w:lvl>
    <w:lvl w:ilvl="4" w:tentative="0">
      <w:start w:val="1"/>
      <w:numFmt w:val="decimal"/>
      <w:pStyle w:val="252"/>
      <w:suff w:val="nothing"/>
      <w:lvlText w:val="%1.%2.%3.%4.%5　"/>
      <w:lvlJc w:val="left"/>
      <w:pPr>
        <w:ind w:left="0" w:firstLine="0"/>
      </w:pPr>
      <w:rPr>
        <w:rFonts w:hint="eastAsia" w:ascii="黑体" w:hAnsi="Times New Roman" w:eastAsia="黑体"/>
        <w:b w:val="0"/>
        <w:i w:val="0"/>
        <w:sz w:val="21"/>
      </w:rPr>
    </w:lvl>
    <w:lvl w:ilvl="5" w:tentative="0">
      <w:start w:val="1"/>
      <w:numFmt w:val="decimal"/>
      <w:pStyle w:val="253"/>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40"/>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5"/>
      <w:lvlText w:val=""/>
      <w:lvlJc w:val="left"/>
      <w:pPr>
        <w:ind w:left="851" w:hanging="431"/>
      </w:pPr>
      <w:rPr>
        <w:rFonts w:hint="default" w:ascii="Symbol" w:hAnsi="Symbol"/>
        <w:sz w:val="21"/>
      </w:rPr>
    </w:lvl>
    <w:lvl w:ilvl="2" w:tentative="0">
      <w:start w:val="1"/>
      <w:numFmt w:val="bullet"/>
      <w:pStyle w:val="180"/>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9"/>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82"/>
      <w:lvlText w:val="%1)"/>
      <w:lvlJc w:val="left"/>
      <w:pPr>
        <w:tabs>
          <w:tab w:val="left" w:pos="851"/>
        </w:tabs>
        <w:ind w:left="851" w:hanging="426"/>
      </w:pPr>
      <w:rPr>
        <w:rFonts w:hint="eastAsia" w:ascii="宋体" w:hAnsi="Times New Roman" w:eastAsia="宋体"/>
        <w:sz w:val="21"/>
      </w:rPr>
    </w:lvl>
    <w:lvl w:ilvl="1" w:tentative="0">
      <w:start w:val="1"/>
      <w:numFmt w:val="decimal"/>
      <w:pStyle w:val="117"/>
      <w:lvlText w:val="%2)"/>
      <w:lvlJc w:val="left"/>
      <w:pPr>
        <w:tabs>
          <w:tab w:val="left" w:pos="1276"/>
        </w:tabs>
        <w:ind w:left="1276" w:hanging="425"/>
      </w:pPr>
      <w:rPr>
        <w:rFonts w:hint="eastAsia" w:ascii="宋体" w:hAnsi="Times New Roman" w:eastAsia="宋体"/>
        <w:sz w:val="21"/>
      </w:rPr>
    </w:lvl>
    <w:lvl w:ilvl="2" w:tentative="0">
      <w:start w:val="1"/>
      <w:numFmt w:val="decimal"/>
      <w:pStyle w:val="125"/>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6"/>
      <w:lvlText w:val="%1"/>
      <w:lvlJc w:val="left"/>
      <w:pPr>
        <w:ind w:left="420" w:hanging="420"/>
      </w:pPr>
      <w:rPr>
        <w:rFonts w:hint="eastAsia"/>
      </w:rPr>
    </w:lvl>
    <w:lvl w:ilvl="1" w:tentative="0">
      <w:start w:val="1"/>
      <w:numFmt w:val="decimal"/>
      <w:pStyle w:val="91"/>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91"/>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4"/>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101"/>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22"/>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7"/>
      <w:suff w:val="space"/>
      <w:lvlText w:val="%1"/>
      <w:lvlJc w:val="left"/>
      <w:pPr>
        <w:ind w:left="425" w:hanging="425"/>
      </w:pPr>
      <w:rPr>
        <w:rFonts w:hint="eastAsia"/>
      </w:rPr>
    </w:lvl>
    <w:lvl w:ilvl="1" w:tentative="0">
      <w:start w:val="1"/>
      <w:numFmt w:val="decimal"/>
      <w:pStyle w:val="85"/>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9"/>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20"/>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7"/>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84"/>
      <w:suff w:val="nothing"/>
      <w:lvlText w:val="附录%1"/>
      <w:lvlJc w:val="left"/>
      <w:pPr>
        <w:ind w:left="0" w:firstLine="0"/>
      </w:pPr>
      <w:rPr>
        <w:rFonts w:hint="eastAsia"/>
        <w:spacing w:val="100"/>
      </w:rPr>
    </w:lvl>
    <w:lvl w:ilvl="1" w:tentative="0">
      <w:start w:val="1"/>
      <w:numFmt w:val="decimal"/>
      <w:pStyle w:val="86"/>
      <w:suff w:val="nothing"/>
      <w:lvlText w:val="%1.%2　"/>
      <w:lvlJc w:val="left"/>
      <w:pPr>
        <w:ind w:left="0" w:firstLine="0"/>
      </w:pPr>
      <w:rPr>
        <w:rFonts w:hint="eastAsia" w:ascii="黑体" w:eastAsia="黑体"/>
        <w:b w:val="0"/>
        <w:i w:val="0"/>
        <w:sz w:val="21"/>
      </w:rPr>
    </w:lvl>
    <w:lvl w:ilvl="2" w:tentative="0">
      <w:start w:val="1"/>
      <w:numFmt w:val="decimal"/>
      <w:pStyle w:val="87"/>
      <w:suff w:val="nothing"/>
      <w:lvlText w:val="%1.%2.%3　"/>
      <w:lvlJc w:val="left"/>
      <w:pPr>
        <w:ind w:left="0" w:firstLine="0"/>
      </w:pPr>
      <w:rPr>
        <w:rFonts w:hint="eastAsia" w:ascii="黑体" w:eastAsia="黑体"/>
        <w:b w:val="0"/>
        <w:i w:val="0"/>
        <w:sz w:val="21"/>
      </w:rPr>
    </w:lvl>
    <w:lvl w:ilvl="3" w:tentative="0">
      <w:start w:val="1"/>
      <w:numFmt w:val="decimal"/>
      <w:pStyle w:val="89"/>
      <w:suff w:val="nothing"/>
      <w:lvlText w:val="%1.%2.%3.%4　"/>
      <w:lvlJc w:val="left"/>
      <w:pPr>
        <w:ind w:left="0" w:firstLine="0"/>
      </w:pPr>
      <w:rPr>
        <w:rFonts w:hint="eastAsia" w:ascii="黑体" w:eastAsia="黑体"/>
        <w:b w:val="0"/>
        <w:i w:val="0"/>
        <w:sz w:val="21"/>
      </w:rPr>
    </w:lvl>
    <w:lvl w:ilvl="4" w:tentative="0">
      <w:start w:val="1"/>
      <w:numFmt w:val="decimal"/>
      <w:pStyle w:val="90"/>
      <w:suff w:val="nothing"/>
      <w:lvlText w:val="%1.%2.%3.%4.%5　"/>
      <w:lvlJc w:val="left"/>
      <w:pPr>
        <w:ind w:left="0" w:firstLine="0"/>
      </w:pPr>
      <w:rPr>
        <w:rFonts w:hint="eastAsia" w:ascii="黑体" w:eastAsia="黑体"/>
        <w:b w:val="0"/>
        <w:i w:val="0"/>
        <w:sz w:val="21"/>
      </w:rPr>
    </w:lvl>
    <w:lvl w:ilvl="5" w:tentative="0">
      <w:start w:val="1"/>
      <w:numFmt w:val="decimal"/>
      <w:pStyle w:val="92"/>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6"/>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5"/>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8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60"/>
      <w:suff w:val="nothing"/>
      <w:lvlText w:val="%1"/>
      <w:lvlJc w:val="left"/>
      <w:pPr>
        <w:ind w:left="0" w:firstLine="0"/>
      </w:pPr>
      <w:rPr>
        <w:rFonts w:hint="eastAsia"/>
      </w:rPr>
    </w:lvl>
    <w:lvl w:ilvl="1" w:tentative="0">
      <w:start w:val="1"/>
      <w:numFmt w:val="decimal"/>
      <w:pStyle w:val="112"/>
      <w:suff w:val="nothing"/>
      <w:lvlText w:val="%1%2　"/>
      <w:lvlJc w:val="left"/>
      <w:pPr>
        <w:ind w:left="0" w:firstLine="0"/>
      </w:pPr>
      <w:rPr>
        <w:rFonts w:hint="eastAsia" w:ascii="黑体" w:eastAsia="黑体"/>
        <w:b w:val="0"/>
        <w:i w:val="0"/>
        <w:sz w:val="21"/>
      </w:rPr>
    </w:lvl>
    <w:lvl w:ilvl="2" w:tentative="0">
      <w:start w:val="1"/>
      <w:numFmt w:val="decimal"/>
      <w:pStyle w:val="113"/>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3"/>
      <w:suff w:val="nothing"/>
      <w:lvlText w:val="%1%2.%3.%4　"/>
      <w:lvlJc w:val="left"/>
      <w:pPr>
        <w:ind w:left="0" w:firstLine="0"/>
      </w:pPr>
      <w:rPr>
        <w:rFonts w:hint="eastAsia" w:ascii="黑体" w:eastAsia="黑体"/>
        <w:b w:val="0"/>
        <w:i w:val="0"/>
        <w:sz w:val="21"/>
      </w:rPr>
    </w:lvl>
    <w:lvl w:ilvl="4" w:tentative="0">
      <w:start w:val="1"/>
      <w:numFmt w:val="decimal"/>
      <w:pStyle w:val="102"/>
      <w:suff w:val="nothing"/>
      <w:lvlText w:val="%1%2.%3.%4.%5　"/>
      <w:lvlJc w:val="left"/>
      <w:pPr>
        <w:ind w:left="0" w:firstLine="0"/>
      </w:pPr>
      <w:rPr>
        <w:rFonts w:hint="eastAsia" w:ascii="黑体" w:eastAsia="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pStyle w:val="111"/>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7"/>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23"/>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7"/>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trackRevisions w:val="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73"/>
    <w:rsid w:val="0000040A"/>
    <w:rsid w:val="00000A94"/>
    <w:rsid w:val="00001972"/>
    <w:rsid w:val="00001D9A"/>
    <w:rsid w:val="00006087"/>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14A0"/>
    <w:rsid w:val="00092B8A"/>
    <w:rsid w:val="00092FB0"/>
    <w:rsid w:val="000934C5"/>
    <w:rsid w:val="00093D25"/>
    <w:rsid w:val="00093DAB"/>
    <w:rsid w:val="00094D73"/>
    <w:rsid w:val="00096D63"/>
    <w:rsid w:val="000A0948"/>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687"/>
    <w:rsid w:val="000F28E2"/>
    <w:rsid w:val="000F4AEA"/>
    <w:rsid w:val="000F633F"/>
    <w:rsid w:val="000F67E9"/>
    <w:rsid w:val="00104926"/>
    <w:rsid w:val="00113B1E"/>
    <w:rsid w:val="0011711C"/>
    <w:rsid w:val="0012059C"/>
    <w:rsid w:val="00123FF3"/>
    <w:rsid w:val="00124E4F"/>
    <w:rsid w:val="001260B7"/>
    <w:rsid w:val="001265CB"/>
    <w:rsid w:val="001321C6"/>
    <w:rsid w:val="001325C4"/>
    <w:rsid w:val="00133010"/>
    <w:rsid w:val="001338EE"/>
    <w:rsid w:val="00133AAE"/>
    <w:rsid w:val="00135323"/>
    <w:rsid w:val="001356C4"/>
    <w:rsid w:val="00141114"/>
    <w:rsid w:val="00142969"/>
    <w:rsid w:val="001446C2"/>
    <w:rsid w:val="00145095"/>
    <w:rsid w:val="001457E7"/>
    <w:rsid w:val="00145C2A"/>
    <w:rsid w:val="00145D9D"/>
    <w:rsid w:val="00146388"/>
    <w:rsid w:val="00150E4A"/>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49E"/>
    <w:rsid w:val="001852C9"/>
    <w:rsid w:val="00190087"/>
    <w:rsid w:val="001913C4"/>
    <w:rsid w:val="0019348F"/>
    <w:rsid w:val="00193A07"/>
    <w:rsid w:val="00194C95"/>
    <w:rsid w:val="00195C34"/>
    <w:rsid w:val="00196273"/>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7D4"/>
    <w:rsid w:val="001D411C"/>
    <w:rsid w:val="001E1B6A"/>
    <w:rsid w:val="001E2484"/>
    <w:rsid w:val="001E3CC4"/>
    <w:rsid w:val="001E4882"/>
    <w:rsid w:val="001E5D87"/>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3E2B"/>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929"/>
    <w:rsid w:val="00247F52"/>
    <w:rsid w:val="00250B25"/>
    <w:rsid w:val="00250BBE"/>
    <w:rsid w:val="002515C2"/>
    <w:rsid w:val="0025194F"/>
    <w:rsid w:val="0026148A"/>
    <w:rsid w:val="00262696"/>
    <w:rsid w:val="00263D25"/>
    <w:rsid w:val="002643C3"/>
    <w:rsid w:val="00264A0C"/>
    <w:rsid w:val="00266EEB"/>
    <w:rsid w:val="00267EF4"/>
    <w:rsid w:val="00270CB8"/>
    <w:rsid w:val="0027287C"/>
    <w:rsid w:val="00272B08"/>
    <w:rsid w:val="002771AC"/>
    <w:rsid w:val="00281BB8"/>
    <w:rsid w:val="00281E9E"/>
    <w:rsid w:val="00282405"/>
    <w:rsid w:val="00285170"/>
    <w:rsid w:val="00285361"/>
    <w:rsid w:val="00287886"/>
    <w:rsid w:val="00291C0D"/>
    <w:rsid w:val="00292D60"/>
    <w:rsid w:val="00293B30"/>
    <w:rsid w:val="002942D1"/>
    <w:rsid w:val="00294D34"/>
    <w:rsid w:val="00294E3B"/>
    <w:rsid w:val="00296193"/>
    <w:rsid w:val="00296C66"/>
    <w:rsid w:val="00296EBE"/>
    <w:rsid w:val="002974E3"/>
    <w:rsid w:val="002A084B"/>
    <w:rsid w:val="002A1260"/>
    <w:rsid w:val="002A1589"/>
    <w:rsid w:val="002A1608"/>
    <w:rsid w:val="002A25DC"/>
    <w:rsid w:val="002A2F78"/>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4F4"/>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537A"/>
    <w:rsid w:val="00306063"/>
    <w:rsid w:val="00313B85"/>
    <w:rsid w:val="00317988"/>
    <w:rsid w:val="003221B4"/>
    <w:rsid w:val="0032258D"/>
    <w:rsid w:val="00322E62"/>
    <w:rsid w:val="00324D13"/>
    <w:rsid w:val="00324D2A"/>
    <w:rsid w:val="00324EDD"/>
    <w:rsid w:val="003331E4"/>
    <w:rsid w:val="00336C64"/>
    <w:rsid w:val="00337162"/>
    <w:rsid w:val="0034194F"/>
    <w:rsid w:val="00343D31"/>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6F44"/>
    <w:rsid w:val="003974EB"/>
    <w:rsid w:val="00397CC5"/>
    <w:rsid w:val="003A1582"/>
    <w:rsid w:val="003A4077"/>
    <w:rsid w:val="003B04FB"/>
    <w:rsid w:val="003B09AD"/>
    <w:rsid w:val="003B1F18"/>
    <w:rsid w:val="003B5BF0"/>
    <w:rsid w:val="003B60BF"/>
    <w:rsid w:val="003B6BE3"/>
    <w:rsid w:val="003B75FC"/>
    <w:rsid w:val="003C010C"/>
    <w:rsid w:val="003C0A6C"/>
    <w:rsid w:val="003C125C"/>
    <w:rsid w:val="003C14F8"/>
    <w:rsid w:val="003C182B"/>
    <w:rsid w:val="003C5A43"/>
    <w:rsid w:val="003C6AFA"/>
    <w:rsid w:val="003D0519"/>
    <w:rsid w:val="003D0FF6"/>
    <w:rsid w:val="003D262C"/>
    <w:rsid w:val="003D542A"/>
    <w:rsid w:val="003D6D61"/>
    <w:rsid w:val="003D79C6"/>
    <w:rsid w:val="003E091D"/>
    <w:rsid w:val="003E1C53"/>
    <w:rsid w:val="003E2A69"/>
    <w:rsid w:val="003E2D49"/>
    <w:rsid w:val="003E2FD4"/>
    <w:rsid w:val="003E49F6"/>
    <w:rsid w:val="003E660F"/>
    <w:rsid w:val="003F0841"/>
    <w:rsid w:val="003F1961"/>
    <w:rsid w:val="003F1D52"/>
    <w:rsid w:val="003F23D3"/>
    <w:rsid w:val="003F3F08"/>
    <w:rsid w:val="003F49F1"/>
    <w:rsid w:val="003F6272"/>
    <w:rsid w:val="00400E72"/>
    <w:rsid w:val="00401400"/>
    <w:rsid w:val="00403BA7"/>
    <w:rsid w:val="00404869"/>
    <w:rsid w:val="00405884"/>
    <w:rsid w:val="00407D39"/>
    <w:rsid w:val="0041477A"/>
    <w:rsid w:val="004167A3"/>
    <w:rsid w:val="00432DAA"/>
    <w:rsid w:val="00434305"/>
    <w:rsid w:val="00435DF7"/>
    <w:rsid w:val="0044083F"/>
    <w:rsid w:val="00441AE7"/>
    <w:rsid w:val="00445574"/>
    <w:rsid w:val="004467FB"/>
    <w:rsid w:val="004505C9"/>
    <w:rsid w:val="00452D6B"/>
    <w:rsid w:val="00454484"/>
    <w:rsid w:val="0045517B"/>
    <w:rsid w:val="00463B77"/>
    <w:rsid w:val="00463C7B"/>
    <w:rsid w:val="004644A6"/>
    <w:rsid w:val="004659BD"/>
    <w:rsid w:val="00470775"/>
    <w:rsid w:val="00473BE8"/>
    <w:rsid w:val="004746B1"/>
    <w:rsid w:val="0047583F"/>
    <w:rsid w:val="00475DE8"/>
    <w:rsid w:val="00481C44"/>
    <w:rsid w:val="00483BFE"/>
    <w:rsid w:val="00484936"/>
    <w:rsid w:val="00485C89"/>
    <w:rsid w:val="00486BE3"/>
    <w:rsid w:val="004905E4"/>
    <w:rsid w:val="00490A89"/>
    <w:rsid w:val="00490AB4"/>
    <w:rsid w:val="00492F02"/>
    <w:rsid w:val="004939AE"/>
    <w:rsid w:val="00494268"/>
    <w:rsid w:val="004A12DF"/>
    <w:rsid w:val="004A17E6"/>
    <w:rsid w:val="004A1BA8"/>
    <w:rsid w:val="004A4B57"/>
    <w:rsid w:val="004A63FA"/>
    <w:rsid w:val="004B0272"/>
    <w:rsid w:val="004B2701"/>
    <w:rsid w:val="004B2E1B"/>
    <w:rsid w:val="004B3AA8"/>
    <w:rsid w:val="004B3E93"/>
    <w:rsid w:val="004B693F"/>
    <w:rsid w:val="004C075D"/>
    <w:rsid w:val="004C1FBC"/>
    <w:rsid w:val="004C3F1D"/>
    <w:rsid w:val="004C458D"/>
    <w:rsid w:val="004C7556"/>
    <w:rsid w:val="004C7E8B"/>
    <w:rsid w:val="004C7E9D"/>
    <w:rsid w:val="004C7F67"/>
    <w:rsid w:val="004D076D"/>
    <w:rsid w:val="004D0EF1"/>
    <w:rsid w:val="004D2253"/>
    <w:rsid w:val="004D2CD7"/>
    <w:rsid w:val="004D4406"/>
    <w:rsid w:val="004D4543"/>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4F76D5"/>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4DA2"/>
    <w:rsid w:val="005354EA"/>
    <w:rsid w:val="0053585F"/>
    <w:rsid w:val="00535EC4"/>
    <w:rsid w:val="00535ED9"/>
    <w:rsid w:val="0053692B"/>
    <w:rsid w:val="00541853"/>
    <w:rsid w:val="00543BDA"/>
    <w:rsid w:val="005441CC"/>
    <w:rsid w:val="005476EA"/>
    <w:rsid w:val="005479DA"/>
    <w:rsid w:val="00547BCC"/>
    <w:rsid w:val="00547F57"/>
    <w:rsid w:val="0055013B"/>
    <w:rsid w:val="00551F6F"/>
    <w:rsid w:val="00555044"/>
    <w:rsid w:val="0056073F"/>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BA1"/>
    <w:rsid w:val="005A4A1B"/>
    <w:rsid w:val="005A7830"/>
    <w:rsid w:val="005A7FCE"/>
    <w:rsid w:val="005B0F3F"/>
    <w:rsid w:val="005B4903"/>
    <w:rsid w:val="005B51CE"/>
    <w:rsid w:val="005B5885"/>
    <w:rsid w:val="005B5CD7"/>
    <w:rsid w:val="005B6CF6"/>
    <w:rsid w:val="005B7422"/>
    <w:rsid w:val="005C29B8"/>
    <w:rsid w:val="005C5F21"/>
    <w:rsid w:val="005C7156"/>
    <w:rsid w:val="005C7E6A"/>
    <w:rsid w:val="005D0C75"/>
    <w:rsid w:val="005D1B6A"/>
    <w:rsid w:val="005D4171"/>
    <w:rsid w:val="005D6A95"/>
    <w:rsid w:val="005D6B2C"/>
    <w:rsid w:val="005D6D9C"/>
    <w:rsid w:val="005E2335"/>
    <w:rsid w:val="005E34CA"/>
    <w:rsid w:val="005E3C18"/>
    <w:rsid w:val="005E6812"/>
    <w:rsid w:val="005E7881"/>
    <w:rsid w:val="005E78E0"/>
    <w:rsid w:val="005F0D9C"/>
    <w:rsid w:val="005F284E"/>
    <w:rsid w:val="005F4712"/>
    <w:rsid w:val="00600B7D"/>
    <w:rsid w:val="006015CE"/>
    <w:rsid w:val="00604784"/>
    <w:rsid w:val="00606419"/>
    <w:rsid w:val="00607D29"/>
    <w:rsid w:val="00612952"/>
    <w:rsid w:val="00614CC1"/>
    <w:rsid w:val="00615A9D"/>
    <w:rsid w:val="00617387"/>
    <w:rsid w:val="006205D6"/>
    <w:rsid w:val="006252D8"/>
    <w:rsid w:val="00625647"/>
    <w:rsid w:val="006259BC"/>
    <w:rsid w:val="0062636B"/>
    <w:rsid w:val="00626E51"/>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F3F"/>
    <w:rsid w:val="006703D0"/>
    <w:rsid w:val="00672060"/>
    <w:rsid w:val="00672BFD"/>
    <w:rsid w:val="00673D76"/>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30A1"/>
    <w:rsid w:val="006B54BF"/>
    <w:rsid w:val="006B5F44"/>
    <w:rsid w:val="006B5F90"/>
    <w:rsid w:val="006B62E4"/>
    <w:rsid w:val="006C147F"/>
    <w:rsid w:val="006C1BBA"/>
    <w:rsid w:val="006C2079"/>
    <w:rsid w:val="006C3EED"/>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414"/>
    <w:rsid w:val="00704387"/>
    <w:rsid w:val="00707669"/>
    <w:rsid w:val="00711CBA"/>
    <w:rsid w:val="00711FB5"/>
    <w:rsid w:val="00712A01"/>
    <w:rsid w:val="007137C0"/>
    <w:rsid w:val="00714F58"/>
    <w:rsid w:val="00722FBF"/>
    <w:rsid w:val="00722FC2"/>
    <w:rsid w:val="00724879"/>
    <w:rsid w:val="00724E1B"/>
    <w:rsid w:val="00725949"/>
    <w:rsid w:val="00727FA2"/>
    <w:rsid w:val="00730CDC"/>
    <w:rsid w:val="007322D9"/>
    <w:rsid w:val="00732BC0"/>
    <w:rsid w:val="00736967"/>
    <w:rsid w:val="00736B6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77F"/>
    <w:rsid w:val="00755402"/>
    <w:rsid w:val="00756B26"/>
    <w:rsid w:val="00756EDF"/>
    <w:rsid w:val="007600E3"/>
    <w:rsid w:val="00765C43"/>
    <w:rsid w:val="00765EFB"/>
    <w:rsid w:val="007671CA"/>
    <w:rsid w:val="00767C61"/>
    <w:rsid w:val="0077008A"/>
    <w:rsid w:val="00773B2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1E8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C85"/>
    <w:rsid w:val="008A6DC6"/>
    <w:rsid w:val="008A6F81"/>
    <w:rsid w:val="008A769A"/>
    <w:rsid w:val="008B0C9C"/>
    <w:rsid w:val="008B166D"/>
    <w:rsid w:val="008B17F4"/>
    <w:rsid w:val="008B3615"/>
    <w:rsid w:val="008B3A7A"/>
    <w:rsid w:val="008B4AC4"/>
    <w:rsid w:val="008B50C8"/>
    <w:rsid w:val="008B5281"/>
    <w:rsid w:val="008B7E05"/>
    <w:rsid w:val="008C1797"/>
    <w:rsid w:val="008C219C"/>
    <w:rsid w:val="008C475E"/>
    <w:rsid w:val="008C619A"/>
    <w:rsid w:val="008D0CE8"/>
    <w:rsid w:val="008D0F5E"/>
    <w:rsid w:val="008D13C2"/>
    <w:rsid w:val="008D24B7"/>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728"/>
    <w:rsid w:val="008E6A84"/>
    <w:rsid w:val="008F0CDC"/>
    <w:rsid w:val="008F17A3"/>
    <w:rsid w:val="008F1ED3"/>
    <w:rsid w:val="008F23A5"/>
    <w:rsid w:val="008F4C29"/>
    <w:rsid w:val="008F70BD"/>
    <w:rsid w:val="008F788F"/>
    <w:rsid w:val="008F7EA2"/>
    <w:rsid w:val="00902722"/>
    <w:rsid w:val="009027BC"/>
    <w:rsid w:val="009062E6"/>
    <w:rsid w:val="00910047"/>
    <w:rsid w:val="00911BE5"/>
    <w:rsid w:val="00913CA9"/>
    <w:rsid w:val="009145AE"/>
    <w:rsid w:val="009146CE"/>
    <w:rsid w:val="00914CA7"/>
    <w:rsid w:val="00915C3E"/>
    <w:rsid w:val="009161A8"/>
    <w:rsid w:val="009245F5"/>
    <w:rsid w:val="009249EC"/>
    <w:rsid w:val="009273B3"/>
    <w:rsid w:val="009305B5"/>
    <w:rsid w:val="00940DB8"/>
    <w:rsid w:val="009429D5"/>
    <w:rsid w:val="00942BF1"/>
    <w:rsid w:val="00945180"/>
    <w:rsid w:val="00945428"/>
    <w:rsid w:val="0094607B"/>
    <w:rsid w:val="009507BA"/>
    <w:rsid w:val="00953604"/>
    <w:rsid w:val="00953FB2"/>
    <w:rsid w:val="0095496B"/>
    <w:rsid w:val="009610DC"/>
    <w:rsid w:val="00961490"/>
    <w:rsid w:val="0096381A"/>
    <w:rsid w:val="00965E04"/>
    <w:rsid w:val="009674AD"/>
    <w:rsid w:val="00970CDC"/>
    <w:rsid w:val="00977010"/>
    <w:rsid w:val="00977051"/>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0D0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80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DBD"/>
    <w:rsid w:val="00AA4286"/>
    <w:rsid w:val="00AA456B"/>
    <w:rsid w:val="00AA57F5"/>
    <w:rsid w:val="00AA672E"/>
    <w:rsid w:val="00AA6EC9"/>
    <w:rsid w:val="00AA7AA3"/>
    <w:rsid w:val="00AB41D5"/>
    <w:rsid w:val="00AB6309"/>
    <w:rsid w:val="00AB6C5F"/>
    <w:rsid w:val="00AB7129"/>
    <w:rsid w:val="00AC27A6"/>
    <w:rsid w:val="00AC30F7"/>
    <w:rsid w:val="00AC3A5A"/>
    <w:rsid w:val="00AC4D95"/>
    <w:rsid w:val="00AC5DF4"/>
    <w:rsid w:val="00AC60FA"/>
    <w:rsid w:val="00AD0AEF"/>
    <w:rsid w:val="00AD11B7"/>
    <w:rsid w:val="00AD1603"/>
    <w:rsid w:val="00AD1A94"/>
    <w:rsid w:val="00AD1C05"/>
    <w:rsid w:val="00AD2048"/>
    <w:rsid w:val="00AD4126"/>
    <w:rsid w:val="00AD421C"/>
    <w:rsid w:val="00AD44FA"/>
    <w:rsid w:val="00AE070A"/>
    <w:rsid w:val="00AE0852"/>
    <w:rsid w:val="00AE101C"/>
    <w:rsid w:val="00AE37E5"/>
    <w:rsid w:val="00AE5EB4"/>
    <w:rsid w:val="00AF0C18"/>
    <w:rsid w:val="00AF462C"/>
    <w:rsid w:val="00AF47C5"/>
    <w:rsid w:val="00AF5398"/>
    <w:rsid w:val="00AF6D0E"/>
    <w:rsid w:val="00B049AF"/>
    <w:rsid w:val="00B07242"/>
    <w:rsid w:val="00B10534"/>
    <w:rsid w:val="00B113DB"/>
    <w:rsid w:val="00B11D8A"/>
    <w:rsid w:val="00B12981"/>
    <w:rsid w:val="00B147DD"/>
    <w:rsid w:val="00B156FD"/>
    <w:rsid w:val="00B21F61"/>
    <w:rsid w:val="00B261F1"/>
    <w:rsid w:val="00B265BC"/>
    <w:rsid w:val="00B272B6"/>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23A6"/>
    <w:rsid w:val="00B53E2E"/>
    <w:rsid w:val="00B54ABC"/>
    <w:rsid w:val="00B54DDE"/>
    <w:rsid w:val="00B56FBE"/>
    <w:rsid w:val="00B60ACF"/>
    <w:rsid w:val="00B62B58"/>
    <w:rsid w:val="00B64C77"/>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40FD"/>
    <w:rsid w:val="00BD52D7"/>
    <w:rsid w:val="00BD5AD2"/>
    <w:rsid w:val="00BE22F3"/>
    <w:rsid w:val="00BE5B52"/>
    <w:rsid w:val="00BE7B8D"/>
    <w:rsid w:val="00BF0993"/>
    <w:rsid w:val="00BF0B07"/>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E8E"/>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DC5"/>
    <w:rsid w:val="00C64E95"/>
    <w:rsid w:val="00C71372"/>
    <w:rsid w:val="00C72410"/>
    <w:rsid w:val="00C7287F"/>
    <w:rsid w:val="00C80982"/>
    <w:rsid w:val="00C80CB8"/>
    <w:rsid w:val="00C819F8"/>
    <w:rsid w:val="00C81B8D"/>
    <w:rsid w:val="00C8248C"/>
    <w:rsid w:val="00C84E33"/>
    <w:rsid w:val="00C86D6F"/>
    <w:rsid w:val="00C905FC"/>
    <w:rsid w:val="00C9120E"/>
    <w:rsid w:val="00C92D03"/>
    <w:rsid w:val="00C9319C"/>
    <w:rsid w:val="00C9435D"/>
    <w:rsid w:val="00C94DF2"/>
    <w:rsid w:val="00C96741"/>
    <w:rsid w:val="00CA2D1B"/>
    <w:rsid w:val="00CA375D"/>
    <w:rsid w:val="00CA662A"/>
    <w:rsid w:val="00CA7AFD"/>
    <w:rsid w:val="00CA7C3C"/>
    <w:rsid w:val="00CB0189"/>
    <w:rsid w:val="00CB073B"/>
    <w:rsid w:val="00CB0BA2"/>
    <w:rsid w:val="00CB1A42"/>
    <w:rsid w:val="00CB1B0C"/>
    <w:rsid w:val="00CB2C0B"/>
    <w:rsid w:val="00CB517D"/>
    <w:rsid w:val="00CB5C1B"/>
    <w:rsid w:val="00CC038D"/>
    <w:rsid w:val="00CC08DB"/>
    <w:rsid w:val="00CC39FF"/>
    <w:rsid w:val="00CC3C2F"/>
    <w:rsid w:val="00CC4AC8"/>
    <w:rsid w:val="00CC5233"/>
    <w:rsid w:val="00CC5DE6"/>
    <w:rsid w:val="00CC6E4E"/>
    <w:rsid w:val="00CC6FE8"/>
    <w:rsid w:val="00CC7202"/>
    <w:rsid w:val="00CD2808"/>
    <w:rsid w:val="00CD28BF"/>
    <w:rsid w:val="00CD4092"/>
    <w:rsid w:val="00CD45EE"/>
    <w:rsid w:val="00CD4A20"/>
    <w:rsid w:val="00CD50A1"/>
    <w:rsid w:val="00CD519E"/>
    <w:rsid w:val="00CD561D"/>
    <w:rsid w:val="00CE0C4F"/>
    <w:rsid w:val="00CE30EA"/>
    <w:rsid w:val="00CE35B0"/>
    <w:rsid w:val="00CF048A"/>
    <w:rsid w:val="00CF155A"/>
    <w:rsid w:val="00CF2947"/>
    <w:rsid w:val="00CF686F"/>
    <w:rsid w:val="00CF6E60"/>
    <w:rsid w:val="00CF7BCA"/>
    <w:rsid w:val="00D008FD"/>
    <w:rsid w:val="00D02A8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6893"/>
    <w:rsid w:val="00D4162B"/>
    <w:rsid w:val="00D4514F"/>
    <w:rsid w:val="00D451E2"/>
    <w:rsid w:val="00D45E89"/>
    <w:rsid w:val="00D45E8D"/>
    <w:rsid w:val="00D466AE"/>
    <w:rsid w:val="00D4734F"/>
    <w:rsid w:val="00D5085D"/>
    <w:rsid w:val="00D51BF3"/>
    <w:rsid w:val="00D64D91"/>
    <w:rsid w:val="00D66846"/>
    <w:rsid w:val="00D675FB"/>
    <w:rsid w:val="00D71F25"/>
    <w:rsid w:val="00D72A9C"/>
    <w:rsid w:val="00D73144"/>
    <w:rsid w:val="00D77031"/>
    <w:rsid w:val="00D8403F"/>
    <w:rsid w:val="00D84941"/>
    <w:rsid w:val="00D84FA1"/>
    <w:rsid w:val="00D851F0"/>
    <w:rsid w:val="00D86DB7"/>
    <w:rsid w:val="00D926D0"/>
    <w:rsid w:val="00D93030"/>
    <w:rsid w:val="00D94E7B"/>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9BF"/>
    <w:rsid w:val="00DB66CA"/>
    <w:rsid w:val="00DB6BCA"/>
    <w:rsid w:val="00DB73F7"/>
    <w:rsid w:val="00DC0321"/>
    <w:rsid w:val="00DC3067"/>
    <w:rsid w:val="00DC370B"/>
    <w:rsid w:val="00DC5B90"/>
    <w:rsid w:val="00DD00FF"/>
    <w:rsid w:val="00DD0619"/>
    <w:rsid w:val="00DD07FB"/>
    <w:rsid w:val="00DD25C6"/>
    <w:rsid w:val="00DD4FE5"/>
    <w:rsid w:val="00DD5418"/>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74F7"/>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68"/>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C5709"/>
    <w:rsid w:val="00ED067A"/>
    <w:rsid w:val="00ED2940"/>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5B65"/>
    <w:rsid w:val="00F25BB6"/>
    <w:rsid w:val="00F26B7E"/>
    <w:rsid w:val="00F27A3B"/>
    <w:rsid w:val="00F27E33"/>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6651"/>
    <w:rsid w:val="00FA73B1"/>
    <w:rsid w:val="00FB0CB9"/>
    <w:rsid w:val="00FB231D"/>
    <w:rsid w:val="00FB45F1"/>
    <w:rsid w:val="00FB4A72"/>
    <w:rsid w:val="00FB54E8"/>
    <w:rsid w:val="00FB6B81"/>
    <w:rsid w:val="00FB6CAF"/>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8E8"/>
    <w:rsid w:val="00FE7E79"/>
    <w:rsid w:val="00FF037B"/>
    <w:rsid w:val="00FF3E7D"/>
    <w:rsid w:val="00FF5B99"/>
    <w:rsid w:val="00FF730C"/>
    <w:rsid w:val="00FF73F4"/>
    <w:rsid w:val="00FF7CE4"/>
    <w:rsid w:val="00FF7E39"/>
    <w:rsid w:val="01D15E0F"/>
    <w:rsid w:val="04170328"/>
    <w:rsid w:val="09616F12"/>
    <w:rsid w:val="0AE55920"/>
    <w:rsid w:val="0F8E598F"/>
    <w:rsid w:val="1FBB60D3"/>
    <w:rsid w:val="200B097C"/>
    <w:rsid w:val="2CD31625"/>
    <w:rsid w:val="34F723D7"/>
    <w:rsid w:val="3C553E04"/>
    <w:rsid w:val="495D254A"/>
    <w:rsid w:val="498014F1"/>
    <w:rsid w:val="4BD765E4"/>
    <w:rsid w:val="51A2501D"/>
    <w:rsid w:val="525A44FF"/>
    <w:rsid w:val="5BCD31C9"/>
    <w:rsid w:val="732D4924"/>
    <w:rsid w:val="7B1315B7"/>
    <w:rsid w:val="7EF42A2E"/>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3"/>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4"/>
    <w:qFormat/>
    <w:uiPriority w:val="0"/>
    <w:pPr>
      <w:keepNext/>
      <w:keepLines/>
      <w:spacing w:before="260" w:after="260" w:line="416" w:lineRule="auto"/>
      <w:outlineLvl w:val="2"/>
    </w:pPr>
    <w:rPr>
      <w:b/>
      <w:bCs/>
      <w:sz w:val="32"/>
      <w:szCs w:val="32"/>
    </w:rPr>
  </w:style>
  <w:style w:type="paragraph" w:styleId="5">
    <w:name w:val="heading 4"/>
    <w:basedOn w:val="1"/>
    <w:next w:val="1"/>
    <w:link w:val="45"/>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6"/>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7"/>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8"/>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9"/>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0"/>
    <w:qFormat/>
    <w:uiPriority w:val="0"/>
    <w:pPr>
      <w:keepNext/>
      <w:keepLines/>
      <w:adjustRightInd/>
      <w:spacing w:before="240" w:after="64" w:line="320" w:lineRule="auto"/>
      <w:outlineLvl w:val="8"/>
    </w:pPr>
    <w:rPr>
      <w:rFonts w:ascii="Arial" w:hAnsi="Arial" w:eastAsia="黑体"/>
    </w:rPr>
  </w:style>
  <w:style w:type="character" w:default="1" w:styleId="35">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1"/>
    <w:qFormat/>
    <w:uiPriority w:val="0"/>
    <w:pPr>
      <w:adjustRightInd/>
      <w:spacing w:line="240" w:lineRule="auto"/>
      <w:jc w:val="left"/>
    </w:pPr>
    <w:rPr>
      <w:rFonts w:ascii="等线" w:hAnsi="等线" w:eastAsia="等线"/>
      <w:szCs w:val="22"/>
    </w:rPr>
  </w:style>
  <w:style w:type="paragraph" w:styleId="14">
    <w:name w:val="index 6"/>
    <w:basedOn w:val="1"/>
    <w:next w:val="1"/>
    <w:qFormat/>
    <w:uiPriority w:val="0"/>
    <w:pPr>
      <w:adjustRightInd/>
      <w:spacing w:line="240" w:lineRule="auto"/>
      <w:ind w:left="1260" w:hanging="210"/>
      <w:jc w:val="left"/>
    </w:pPr>
    <w:rPr>
      <w:sz w:val="20"/>
      <w:szCs w:val="20"/>
    </w:rPr>
  </w:style>
  <w:style w:type="paragraph" w:styleId="15">
    <w:name w:val="Body Text"/>
    <w:basedOn w:val="1"/>
    <w:link w:val="94"/>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Plain Text"/>
    <w:basedOn w:val="1"/>
    <w:link w:val="242"/>
    <w:unhideWhenUsed/>
    <w:qFormat/>
    <w:uiPriority w:val="99"/>
    <w:pPr>
      <w:adjustRightInd/>
      <w:spacing w:line="240" w:lineRule="auto"/>
    </w:pPr>
    <w:rPr>
      <w:rFonts w:ascii="等线" w:hAnsi="Courier New" w:eastAsia="等线" w:cs="Courier New"/>
      <w:szCs w:val="24"/>
    </w:rPr>
  </w:style>
  <w:style w:type="paragraph" w:styleId="19">
    <w:name w:val="toc 8"/>
    <w:basedOn w:val="1"/>
    <w:next w:val="1"/>
    <w:autoRedefine/>
    <w:unhideWhenUsed/>
    <w:qFormat/>
    <w:uiPriority w:val="39"/>
    <w:pPr>
      <w:adjustRightInd/>
      <w:spacing w:after="160" w:line="278" w:lineRule="auto"/>
      <w:ind w:left="2940" w:leftChars="1400"/>
      <w:jc w:val="left"/>
    </w:pPr>
    <w:rPr>
      <w:rFonts w:asciiTheme="minorHAnsi" w:hAnsiTheme="minorHAnsi" w:eastAsiaTheme="minorEastAsia" w:cstheme="minorBidi"/>
      <w:sz w:val="22"/>
      <w:szCs w:val="24"/>
      <w14:ligatures w14:val="standardContextual"/>
    </w:rPr>
  </w:style>
  <w:style w:type="paragraph" w:styleId="20">
    <w:name w:val="Date"/>
    <w:basedOn w:val="1"/>
    <w:next w:val="1"/>
    <w:link w:val="243"/>
    <w:unhideWhenUsed/>
    <w:qFormat/>
    <w:uiPriority w:val="99"/>
    <w:pPr>
      <w:adjustRightInd/>
      <w:spacing w:line="240" w:lineRule="auto"/>
      <w:ind w:left="100" w:leftChars="2500"/>
    </w:pPr>
    <w:rPr>
      <w:rFonts w:ascii="Times New Roman" w:hAnsi="Times New Roman"/>
      <w:szCs w:val="24"/>
    </w:rPr>
  </w:style>
  <w:style w:type="paragraph" w:styleId="21">
    <w:name w:val="Balloon Text"/>
    <w:basedOn w:val="1"/>
    <w:link w:val="53"/>
    <w:unhideWhenUsed/>
    <w:qFormat/>
    <w:uiPriority w:val="99"/>
    <w:rPr>
      <w:sz w:val="18"/>
      <w:szCs w:val="18"/>
    </w:rPr>
  </w:style>
  <w:style w:type="paragraph" w:styleId="22">
    <w:name w:val="footer"/>
    <w:basedOn w:val="1"/>
    <w:link w:val="52"/>
    <w:qFormat/>
    <w:uiPriority w:val="99"/>
    <w:pPr>
      <w:tabs>
        <w:tab w:val="center" w:pos="4153"/>
        <w:tab w:val="right" w:pos="8306"/>
      </w:tabs>
      <w:adjustRightInd/>
      <w:snapToGrid w:val="0"/>
      <w:spacing w:line="240" w:lineRule="auto"/>
      <w:jc w:val="right"/>
    </w:pPr>
    <w:rPr>
      <w:rFonts w:ascii="宋体"/>
      <w:sz w:val="18"/>
      <w:szCs w:val="18"/>
    </w:rPr>
  </w:style>
  <w:style w:type="paragraph" w:styleId="23">
    <w:name w:val="header"/>
    <w:basedOn w:val="1"/>
    <w:link w:val="51"/>
    <w:qFormat/>
    <w:uiPriority w:val="99"/>
    <w:pPr>
      <w:tabs>
        <w:tab w:val="center" w:pos="4153"/>
        <w:tab w:val="right" w:pos="8306"/>
      </w:tabs>
      <w:adjustRightInd/>
      <w:snapToGrid w:val="0"/>
      <w:jc w:val="center"/>
    </w:pPr>
    <w:rPr>
      <w:sz w:val="18"/>
      <w:szCs w:val="18"/>
    </w:rPr>
  </w:style>
  <w:style w:type="paragraph" w:styleId="24">
    <w:name w:val="toc 1"/>
    <w:basedOn w:val="1"/>
    <w:next w:val="1"/>
    <w:autoRedefine/>
    <w:unhideWhenUsed/>
    <w:qFormat/>
    <w:uiPriority w:val="39"/>
    <w:rPr>
      <w:rFonts w:ascii="宋体"/>
    </w:rPr>
  </w:style>
  <w:style w:type="paragraph" w:styleId="25">
    <w:name w:val="toc 4"/>
    <w:basedOn w:val="1"/>
    <w:next w:val="1"/>
    <w:autoRedefine/>
    <w:unhideWhenUsed/>
    <w:qFormat/>
    <w:uiPriority w:val="39"/>
    <w:pPr>
      <w:tabs>
        <w:tab w:val="right" w:leader="dot" w:pos="9344"/>
      </w:tabs>
      <w:spacing w:line="300" w:lineRule="exact"/>
      <w:ind w:left="629"/>
    </w:pPr>
    <w:rPr>
      <w:rFonts w:ascii="宋体"/>
    </w:rPr>
  </w:style>
  <w:style w:type="paragraph" w:styleId="26">
    <w:name w:val="footnote text"/>
    <w:basedOn w:val="1"/>
    <w:next w:val="1"/>
    <w:link w:val="10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7">
    <w:name w:val="toc 6"/>
    <w:basedOn w:val="1"/>
    <w:next w:val="1"/>
    <w:autoRedefine/>
    <w:unhideWhenUsed/>
    <w:qFormat/>
    <w:uiPriority w:val="39"/>
    <w:pPr>
      <w:spacing w:line="300" w:lineRule="exact"/>
      <w:ind w:left="1049"/>
    </w:pPr>
    <w:rPr>
      <w:rFonts w:ascii="宋体"/>
    </w:rPr>
  </w:style>
  <w:style w:type="paragraph" w:styleId="28">
    <w:name w:val="table of figures"/>
    <w:basedOn w:val="1"/>
    <w:next w:val="1"/>
    <w:semiHidden/>
    <w:qFormat/>
    <w:uiPriority w:val="0"/>
    <w:pPr>
      <w:adjustRightInd/>
      <w:spacing w:line="240" w:lineRule="auto"/>
      <w:jc w:val="left"/>
    </w:pPr>
    <w:rPr>
      <w:szCs w:val="24"/>
    </w:rPr>
  </w:style>
  <w:style w:type="paragraph" w:styleId="29">
    <w:name w:val="toc 2"/>
    <w:basedOn w:val="1"/>
    <w:next w:val="1"/>
    <w:autoRedefine/>
    <w:unhideWhenUsed/>
    <w:qFormat/>
    <w:uiPriority w:val="39"/>
    <w:pPr>
      <w:tabs>
        <w:tab w:val="right" w:leader="dot" w:pos="9344"/>
      </w:tabs>
      <w:spacing w:line="300" w:lineRule="exact"/>
      <w:ind w:left="210"/>
    </w:pPr>
    <w:rPr>
      <w:rFonts w:ascii="宋体"/>
    </w:rPr>
  </w:style>
  <w:style w:type="paragraph" w:styleId="30">
    <w:name w:val="toc 9"/>
    <w:basedOn w:val="1"/>
    <w:next w:val="1"/>
    <w:autoRedefine/>
    <w:unhideWhenUsed/>
    <w:qFormat/>
    <w:uiPriority w:val="39"/>
    <w:pPr>
      <w:adjustRightInd/>
      <w:spacing w:after="160" w:line="278" w:lineRule="auto"/>
      <w:ind w:left="3360" w:leftChars="1600"/>
      <w:jc w:val="left"/>
    </w:pPr>
    <w:rPr>
      <w:rFonts w:asciiTheme="minorHAnsi" w:hAnsiTheme="minorHAnsi" w:eastAsiaTheme="minorEastAsia" w:cstheme="minorBidi"/>
      <w:sz w:val="22"/>
      <w:szCs w:val="24"/>
      <w14:ligatures w14:val="standardContextual"/>
    </w:rPr>
  </w:style>
  <w:style w:type="paragraph" w:styleId="31">
    <w:name w:val="Title"/>
    <w:basedOn w:val="1"/>
    <w:link w:val="56"/>
    <w:qFormat/>
    <w:uiPriority w:val="0"/>
    <w:pPr>
      <w:spacing w:before="240" w:after="60"/>
      <w:jc w:val="center"/>
      <w:outlineLvl w:val="0"/>
    </w:pPr>
    <w:rPr>
      <w:rFonts w:ascii="Arial" w:hAnsi="Arial" w:cs="Arial"/>
      <w:b/>
      <w:bCs/>
      <w:sz w:val="32"/>
      <w:szCs w:val="32"/>
    </w:rPr>
  </w:style>
  <w:style w:type="paragraph" w:styleId="32">
    <w:name w:val="annotation subject"/>
    <w:basedOn w:val="13"/>
    <w:next w:val="13"/>
    <w:link w:val="244"/>
    <w:unhideWhenUsed/>
    <w:qFormat/>
    <w:uiPriority w:val="99"/>
    <w:rPr>
      <w:rFonts w:ascii="Times New Roman" w:hAnsi="Times New Roman" w:eastAsia="宋体"/>
      <w:b/>
      <w:bCs/>
      <w:szCs w:val="24"/>
    </w:rPr>
  </w:style>
  <w:style w:type="table" w:styleId="34">
    <w:name w:val="Table Grid"/>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6">
    <w:name w:val="Strong"/>
    <w:qFormat/>
    <w:uiPriority w:val="22"/>
    <w:rPr>
      <w:b/>
      <w:bCs/>
    </w:rPr>
  </w:style>
  <w:style w:type="character" w:styleId="37">
    <w:name w:val="page number"/>
    <w:qFormat/>
    <w:uiPriority w:val="0"/>
    <w:rPr>
      <w:rFonts w:ascii="宋体" w:hAnsi="Times New Roman" w:eastAsia="宋体"/>
      <w:sz w:val="18"/>
    </w:rPr>
  </w:style>
  <w:style w:type="character" w:styleId="38">
    <w:name w:val="Emphasis"/>
    <w:qFormat/>
    <w:uiPriority w:val="20"/>
    <w:rPr>
      <w:i/>
      <w:iCs/>
    </w:rPr>
  </w:style>
  <w:style w:type="character" w:styleId="39">
    <w:name w:val="Hyperlink"/>
    <w:qFormat/>
    <w:uiPriority w:val="99"/>
    <w:rPr>
      <w:rFonts w:ascii="宋体" w:hAnsi="Times New Roman" w:eastAsia="宋体"/>
      <w:color w:val="auto"/>
      <w:spacing w:val="0"/>
      <w:w w:val="100"/>
      <w:position w:val="0"/>
      <w:sz w:val="21"/>
      <w:u w:val="none"/>
      <w:vertAlign w:val="baseline"/>
    </w:rPr>
  </w:style>
  <w:style w:type="character" w:styleId="40">
    <w:name w:val="annotation reference"/>
    <w:qFormat/>
    <w:uiPriority w:val="0"/>
    <w:rPr>
      <w:sz w:val="21"/>
      <w:szCs w:val="21"/>
    </w:rPr>
  </w:style>
  <w:style w:type="character" w:styleId="41">
    <w:name w:val="footnote reference"/>
    <w:semiHidden/>
    <w:qFormat/>
    <w:uiPriority w:val="0"/>
    <w:rPr>
      <w:rFonts w:ascii="宋体" w:hAnsi="宋体" w:eastAsia="宋体" w:cs="Times New Roman"/>
      <w:spacing w:val="0"/>
      <w:sz w:val="18"/>
      <w:vertAlign w:val="superscript"/>
    </w:rPr>
  </w:style>
  <w:style w:type="character" w:customStyle="1" w:styleId="42">
    <w:name w:val="标题 1 Char"/>
    <w:link w:val="2"/>
    <w:qFormat/>
    <w:uiPriority w:val="9"/>
    <w:rPr>
      <w:b/>
      <w:bCs/>
      <w:kern w:val="44"/>
      <w:sz w:val="44"/>
      <w:szCs w:val="44"/>
    </w:rPr>
  </w:style>
  <w:style w:type="character" w:customStyle="1" w:styleId="43">
    <w:name w:val="标题 2 Char"/>
    <w:link w:val="3"/>
    <w:qFormat/>
    <w:uiPriority w:val="0"/>
    <w:rPr>
      <w:rFonts w:ascii="Arial" w:hAnsi="Arial" w:eastAsia="黑体"/>
      <w:b/>
      <w:bCs/>
      <w:kern w:val="2"/>
      <w:sz w:val="32"/>
      <w:szCs w:val="32"/>
    </w:rPr>
  </w:style>
  <w:style w:type="character" w:customStyle="1" w:styleId="44">
    <w:name w:val="标题 3 Char"/>
    <w:link w:val="4"/>
    <w:qFormat/>
    <w:uiPriority w:val="0"/>
    <w:rPr>
      <w:b/>
      <w:bCs/>
      <w:kern w:val="2"/>
      <w:sz w:val="32"/>
      <w:szCs w:val="32"/>
    </w:rPr>
  </w:style>
  <w:style w:type="character" w:customStyle="1" w:styleId="45">
    <w:name w:val="标题 4 Char"/>
    <w:link w:val="5"/>
    <w:qFormat/>
    <w:uiPriority w:val="0"/>
    <w:rPr>
      <w:rFonts w:ascii="Arial" w:hAnsi="Arial" w:eastAsia="黑体"/>
      <w:b/>
      <w:bCs/>
      <w:kern w:val="2"/>
      <w:sz w:val="28"/>
      <w:szCs w:val="28"/>
    </w:rPr>
  </w:style>
  <w:style w:type="character" w:customStyle="1" w:styleId="46">
    <w:name w:val="标题 5 Char"/>
    <w:link w:val="6"/>
    <w:qFormat/>
    <w:uiPriority w:val="0"/>
    <w:rPr>
      <w:b/>
      <w:bCs/>
      <w:kern w:val="2"/>
      <w:sz w:val="28"/>
      <w:szCs w:val="28"/>
    </w:rPr>
  </w:style>
  <w:style w:type="character" w:customStyle="1" w:styleId="47">
    <w:name w:val="标题 6 Char"/>
    <w:link w:val="7"/>
    <w:qFormat/>
    <w:uiPriority w:val="0"/>
    <w:rPr>
      <w:rFonts w:ascii="Arial" w:hAnsi="Arial" w:eastAsia="黑体"/>
      <w:b/>
      <w:bCs/>
      <w:kern w:val="2"/>
      <w:sz w:val="24"/>
      <w:szCs w:val="24"/>
    </w:rPr>
  </w:style>
  <w:style w:type="character" w:customStyle="1" w:styleId="48">
    <w:name w:val="标题 7 Char"/>
    <w:link w:val="8"/>
    <w:qFormat/>
    <w:uiPriority w:val="0"/>
    <w:rPr>
      <w:b/>
      <w:bCs/>
      <w:kern w:val="2"/>
      <w:sz w:val="24"/>
      <w:szCs w:val="24"/>
    </w:rPr>
  </w:style>
  <w:style w:type="character" w:customStyle="1" w:styleId="49">
    <w:name w:val="标题 8 Char"/>
    <w:link w:val="9"/>
    <w:qFormat/>
    <w:uiPriority w:val="0"/>
    <w:rPr>
      <w:rFonts w:ascii="Arial" w:hAnsi="Arial" w:eastAsia="黑体"/>
      <w:kern w:val="2"/>
      <w:sz w:val="24"/>
      <w:szCs w:val="24"/>
    </w:rPr>
  </w:style>
  <w:style w:type="character" w:customStyle="1" w:styleId="50">
    <w:name w:val="标题 9 Char"/>
    <w:link w:val="10"/>
    <w:qFormat/>
    <w:uiPriority w:val="0"/>
    <w:rPr>
      <w:rFonts w:ascii="Arial" w:hAnsi="Arial" w:eastAsia="黑体"/>
      <w:kern w:val="2"/>
      <w:sz w:val="21"/>
      <w:szCs w:val="21"/>
    </w:rPr>
  </w:style>
  <w:style w:type="character" w:customStyle="1" w:styleId="51">
    <w:name w:val="页眉 Char"/>
    <w:link w:val="23"/>
    <w:qFormat/>
    <w:uiPriority w:val="99"/>
    <w:rPr>
      <w:kern w:val="2"/>
      <w:sz w:val="18"/>
      <w:szCs w:val="18"/>
    </w:rPr>
  </w:style>
  <w:style w:type="character" w:customStyle="1" w:styleId="52">
    <w:name w:val="页脚 Char"/>
    <w:link w:val="22"/>
    <w:qFormat/>
    <w:uiPriority w:val="99"/>
    <w:rPr>
      <w:rFonts w:ascii="宋体"/>
      <w:kern w:val="2"/>
      <w:sz w:val="18"/>
      <w:szCs w:val="18"/>
    </w:rPr>
  </w:style>
  <w:style w:type="character" w:customStyle="1" w:styleId="53">
    <w:name w:val="批注框文本 Char"/>
    <w:link w:val="21"/>
    <w:semiHidden/>
    <w:qFormat/>
    <w:uiPriority w:val="99"/>
    <w:rPr>
      <w:kern w:val="2"/>
      <w:sz w:val="18"/>
      <w:szCs w:val="18"/>
    </w:rPr>
  </w:style>
  <w:style w:type="paragraph" w:styleId="54">
    <w:name w:val="Quote"/>
    <w:basedOn w:val="1"/>
    <w:next w:val="1"/>
    <w:link w:val="55"/>
    <w:qFormat/>
    <w:uiPriority w:val="29"/>
    <w:rPr>
      <w:i/>
      <w:iCs/>
      <w:color w:val="000000"/>
    </w:rPr>
  </w:style>
  <w:style w:type="character" w:customStyle="1" w:styleId="55">
    <w:name w:val="引用 Char"/>
    <w:link w:val="54"/>
    <w:qFormat/>
    <w:uiPriority w:val="29"/>
    <w:rPr>
      <w:i/>
      <w:iCs/>
      <w:color w:val="000000"/>
      <w:kern w:val="2"/>
      <w:sz w:val="21"/>
      <w:szCs w:val="21"/>
    </w:rPr>
  </w:style>
  <w:style w:type="character" w:customStyle="1" w:styleId="56">
    <w:name w:val="标题 Char"/>
    <w:link w:val="31"/>
    <w:qFormat/>
    <w:uiPriority w:val="0"/>
    <w:rPr>
      <w:rFonts w:ascii="Arial" w:hAnsi="Arial" w:cs="Arial"/>
      <w:b/>
      <w:bCs/>
      <w:kern w:val="2"/>
      <w:sz w:val="32"/>
      <w:szCs w:val="32"/>
    </w:rPr>
  </w:style>
  <w:style w:type="paragraph" w:customStyle="1" w:styleId="5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9">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0">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1">
    <w:name w:val="标准书眉一"/>
    <w:qFormat/>
    <w:uiPriority w:val="0"/>
    <w:pPr>
      <w:jc w:val="both"/>
    </w:pPr>
    <w:rPr>
      <w:rFonts w:ascii="Times New Roman" w:hAnsi="Times New Roman" w:eastAsia="宋体" w:cs="Times New Roman"/>
      <w:lang w:val="en-US" w:eastAsia="zh-CN" w:bidi="ar-SA"/>
    </w:rPr>
  </w:style>
  <w:style w:type="paragraph" w:customStyle="1" w:styleId="62">
    <w:name w:val="标准文件_ICS"/>
    <w:basedOn w:val="1"/>
    <w:qFormat/>
    <w:uiPriority w:val="0"/>
    <w:pPr>
      <w:spacing w:line="0" w:lineRule="atLeast"/>
    </w:pPr>
    <w:rPr>
      <w:rFonts w:ascii="黑体" w:hAnsi="宋体" w:eastAsia="黑体"/>
    </w:rPr>
  </w:style>
  <w:style w:type="paragraph" w:customStyle="1" w:styleId="63">
    <w:name w:val="标准文件_标准正文"/>
    <w:basedOn w:val="1"/>
    <w:next w:val="64"/>
    <w:qFormat/>
    <w:uiPriority w:val="0"/>
    <w:pPr>
      <w:snapToGrid w:val="0"/>
      <w:ind w:firstLine="200" w:firstLineChars="200"/>
    </w:pPr>
    <w:rPr>
      <w:kern w:val="0"/>
    </w:rPr>
  </w:style>
  <w:style w:type="paragraph" w:customStyle="1" w:styleId="64">
    <w:name w:val="标准文件_段"/>
    <w:link w:val="19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5">
    <w:name w:val="标准文件_版本"/>
    <w:basedOn w:val="63"/>
    <w:qFormat/>
    <w:uiPriority w:val="0"/>
    <w:pPr>
      <w:adjustRightInd/>
      <w:snapToGrid/>
      <w:ind w:firstLine="0" w:firstLineChars="0"/>
    </w:pPr>
    <w:rPr>
      <w:rFonts w:ascii="宋体" w:hAnsi="宋体"/>
      <w:kern w:val="2"/>
    </w:rPr>
  </w:style>
  <w:style w:type="paragraph" w:customStyle="1" w:styleId="66">
    <w:name w:val="标准文件_标准部门"/>
    <w:basedOn w:val="1"/>
    <w:qFormat/>
    <w:uiPriority w:val="0"/>
    <w:pPr>
      <w:jc w:val="center"/>
    </w:pPr>
    <w:rPr>
      <w:rFonts w:ascii="黑体" w:eastAsia="黑体"/>
      <w:kern w:val="0"/>
      <w:sz w:val="44"/>
    </w:rPr>
  </w:style>
  <w:style w:type="paragraph" w:customStyle="1" w:styleId="67">
    <w:name w:val="标准文件_标准代替"/>
    <w:basedOn w:val="1"/>
    <w:next w:val="1"/>
    <w:qFormat/>
    <w:uiPriority w:val="0"/>
    <w:pPr>
      <w:spacing w:line="310" w:lineRule="exact"/>
      <w:jc w:val="right"/>
    </w:pPr>
    <w:rPr>
      <w:rFonts w:ascii="宋体" w:hAnsi="宋体"/>
      <w:kern w:val="0"/>
    </w:rPr>
  </w:style>
  <w:style w:type="paragraph" w:customStyle="1" w:styleId="68">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0">
    <w:name w:val="标准文件_页眉偶数页"/>
    <w:basedOn w:val="69"/>
    <w:next w:val="1"/>
    <w:qFormat/>
    <w:uiPriority w:val="0"/>
    <w:pPr>
      <w:jc w:val="left"/>
    </w:pPr>
  </w:style>
  <w:style w:type="paragraph" w:customStyle="1" w:styleId="71">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2">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3">
    <w:name w:val="标准文件_二级条标题"/>
    <w:next w:val="6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4">
    <w:name w:val="标准文件_发布"/>
    <w:qFormat/>
    <w:uiPriority w:val="0"/>
    <w:rPr>
      <w:rFonts w:ascii="黑体" w:eastAsia="黑体"/>
      <w:spacing w:val="0"/>
      <w:w w:val="100"/>
      <w:position w:val="3"/>
      <w:sz w:val="28"/>
    </w:rPr>
  </w:style>
  <w:style w:type="paragraph" w:customStyle="1" w:styleId="75">
    <w:name w:val="标准文件_方框数字列项"/>
    <w:basedOn w:val="64"/>
    <w:qFormat/>
    <w:uiPriority w:val="0"/>
    <w:pPr>
      <w:numPr>
        <w:ilvl w:val="0"/>
        <w:numId w:val="3"/>
      </w:numPr>
      <w:ind w:firstLine="0" w:firstLineChars="0"/>
    </w:pPr>
  </w:style>
  <w:style w:type="paragraph" w:customStyle="1" w:styleId="76">
    <w:name w:val="标准文件_封面标准编号"/>
    <w:basedOn w:val="1"/>
    <w:next w:val="67"/>
    <w:qFormat/>
    <w:uiPriority w:val="0"/>
    <w:pPr>
      <w:spacing w:line="310" w:lineRule="exact"/>
      <w:jc w:val="right"/>
    </w:pPr>
    <w:rPr>
      <w:rFonts w:ascii="黑体" w:eastAsia="黑体"/>
      <w:kern w:val="0"/>
      <w:sz w:val="28"/>
    </w:rPr>
  </w:style>
  <w:style w:type="paragraph" w:customStyle="1" w:styleId="77">
    <w:name w:val="标准文件_封面标准分类号"/>
    <w:basedOn w:val="1"/>
    <w:qFormat/>
    <w:uiPriority w:val="0"/>
    <w:rPr>
      <w:rFonts w:ascii="黑体" w:eastAsia="黑体"/>
      <w:b/>
      <w:kern w:val="0"/>
      <w:sz w:val="28"/>
    </w:rPr>
  </w:style>
  <w:style w:type="paragraph" w:customStyle="1" w:styleId="78">
    <w:name w:val="标准文件_封面标准名称"/>
    <w:basedOn w:val="1"/>
    <w:qFormat/>
    <w:uiPriority w:val="0"/>
    <w:pPr>
      <w:spacing w:line="240" w:lineRule="auto"/>
      <w:jc w:val="center"/>
    </w:pPr>
    <w:rPr>
      <w:rFonts w:ascii="黑体" w:eastAsia="黑体"/>
      <w:kern w:val="0"/>
      <w:sz w:val="52"/>
    </w:rPr>
  </w:style>
  <w:style w:type="paragraph" w:customStyle="1" w:styleId="79">
    <w:name w:val="标准文件_封面标准英文名称"/>
    <w:basedOn w:val="1"/>
    <w:qFormat/>
    <w:uiPriority w:val="0"/>
    <w:pPr>
      <w:spacing w:line="240" w:lineRule="auto"/>
      <w:jc w:val="center"/>
    </w:pPr>
    <w:rPr>
      <w:rFonts w:ascii="黑体" w:eastAsia="黑体"/>
      <w:b/>
      <w:sz w:val="28"/>
    </w:rPr>
  </w:style>
  <w:style w:type="paragraph" w:customStyle="1" w:styleId="80">
    <w:name w:val="标准文件_封面发布日期"/>
    <w:basedOn w:val="1"/>
    <w:qFormat/>
    <w:uiPriority w:val="0"/>
    <w:pPr>
      <w:spacing w:line="310" w:lineRule="exact"/>
    </w:pPr>
    <w:rPr>
      <w:rFonts w:ascii="黑体" w:eastAsia="黑体"/>
      <w:kern w:val="0"/>
      <w:sz w:val="28"/>
    </w:rPr>
  </w:style>
  <w:style w:type="paragraph" w:customStyle="1" w:styleId="81">
    <w:name w:val="标准文件_封面密级"/>
    <w:basedOn w:val="1"/>
    <w:qFormat/>
    <w:uiPriority w:val="0"/>
    <w:rPr>
      <w:rFonts w:eastAsia="黑体"/>
      <w:sz w:val="32"/>
    </w:rPr>
  </w:style>
  <w:style w:type="paragraph" w:customStyle="1" w:styleId="82">
    <w:name w:val="标准文件_封面实施日期"/>
    <w:basedOn w:val="1"/>
    <w:qFormat/>
    <w:uiPriority w:val="0"/>
    <w:pPr>
      <w:spacing w:line="310" w:lineRule="exact"/>
      <w:jc w:val="right"/>
    </w:pPr>
    <w:rPr>
      <w:rFonts w:ascii="黑体" w:eastAsia="黑体"/>
      <w:sz w:val="28"/>
    </w:rPr>
  </w:style>
  <w:style w:type="paragraph" w:customStyle="1" w:styleId="83">
    <w:name w:val="标准文件_封面抬头"/>
    <w:basedOn w:val="64"/>
    <w:qFormat/>
    <w:uiPriority w:val="0"/>
    <w:pPr>
      <w:adjustRightInd w:val="0"/>
      <w:spacing w:line="800" w:lineRule="exact"/>
      <w:ind w:firstLine="0" w:firstLineChars="0"/>
      <w:jc w:val="distribute"/>
    </w:pPr>
    <w:rPr>
      <w:rFonts w:ascii="黑体" w:eastAsia="黑体"/>
      <w:b/>
      <w:sz w:val="64"/>
    </w:rPr>
  </w:style>
  <w:style w:type="paragraph" w:customStyle="1" w:styleId="84">
    <w:name w:val="标准文件_附录标识"/>
    <w:next w:val="64"/>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5">
    <w:name w:val="标准文件_附录表标题"/>
    <w:next w:val="64"/>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6">
    <w:name w:val="标准文件_附录一级条标题"/>
    <w:next w:val="64"/>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7">
    <w:name w:val="标准文件_附录二级条标题"/>
    <w:basedOn w:val="86"/>
    <w:next w:val="64"/>
    <w:qFormat/>
    <w:uiPriority w:val="0"/>
    <w:pPr>
      <w:widowControl/>
      <w:numPr>
        <w:ilvl w:val="2"/>
      </w:numPr>
      <w:wordWrap w:val="0"/>
      <w:overflowPunct w:val="0"/>
      <w:autoSpaceDE w:val="0"/>
      <w:autoSpaceDN w:val="0"/>
      <w:textAlignment w:val="baseline"/>
      <w:outlineLvl w:val="3"/>
    </w:pPr>
  </w:style>
  <w:style w:type="paragraph" w:customStyle="1" w:styleId="88">
    <w:name w:val="标准文件_附录公式"/>
    <w:basedOn w:val="63"/>
    <w:next w:val="63"/>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9">
    <w:name w:val="标准文件_附录三级条标题"/>
    <w:next w:val="64"/>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90">
    <w:name w:val="标准文件_附录四级条标题"/>
    <w:next w:val="64"/>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1">
    <w:name w:val="标准文件_附录图标题"/>
    <w:next w:val="64"/>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2">
    <w:name w:val="标准文件_附录五级条标题"/>
    <w:next w:val="64"/>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3">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4">
    <w:name w:val="正文文本 Char"/>
    <w:link w:val="15"/>
    <w:qFormat/>
    <w:uiPriority w:val="0"/>
    <w:rPr>
      <w:kern w:val="2"/>
      <w:sz w:val="21"/>
      <w:szCs w:val="21"/>
    </w:rPr>
  </w:style>
  <w:style w:type="paragraph" w:customStyle="1" w:styleId="95">
    <w:name w:val="标准文件_附录章标题"/>
    <w:next w:val="64"/>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6">
    <w:name w:val="标准文件_公式后的破折号"/>
    <w:basedOn w:val="64"/>
    <w:next w:val="64"/>
    <w:qFormat/>
    <w:uiPriority w:val="0"/>
    <w:pPr>
      <w:ind w:left="488" w:leftChars="200" w:hanging="289" w:hangingChars="290"/>
    </w:pPr>
  </w:style>
  <w:style w:type="paragraph" w:customStyle="1" w:styleId="97">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8">
    <w:name w:val="标准文件_目次、标准名称标题"/>
    <w:basedOn w:val="97"/>
    <w:next w:val="64"/>
    <w:qFormat/>
    <w:uiPriority w:val="0"/>
    <w:pPr>
      <w:spacing w:line="460" w:lineRule="exact"/>
      <w:ind w:left="0" w:firstLine="0"/>
    </w:pPr>
  </w:style>
  <w:style w:type="paragraph" w:customStyle="1" w:styleId="99">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00">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1">
    <w:name w:val="标准文件_破折号列项（二级）"/>
    <w:basedOn w:val="100"/>
    <w:qFormat/>
    <w:uiPriority w:val="0"/>
    <w:pPr>
      <w:numPr>
        <w:numId w:val="10"/>
      </w:numPr>
    </w:pPr>
  </w:style>
  <w:style w:type="paragraph" w:customStyle="1" w:styleId="102">
    <w:name w:val="标准文件_三级条标题"/>
    <w:basedOn w:val="73"/>
    <w:next w:val="64"/>
    <w:qFormat/>
    <w:uiPriority w:val="0"/>
    <w:pPr>
      <w:widowControl/>
      <w:numPr>
        <w:ilvl w:val="4"/>
      </w:numPr>
      <w:outlineLvl w:val="3"/>
    </w:pPr>
  </w:style>
  <w:style w:type="character" w:customStyle="1" w:styleId="103">
    <w:name w:val="不明显参考1"/>
    <w:qFormat/>
    <w:uiPriority w:val="31"/>
    <w:rPr>
      <w:smallCaps/>
      <w:color w:val="C0504D"/>
      <w:u w:val="single"/>
    </w:rPr>
  </w:style>
  <w:style w:type="paragraph" w:customStyle="1" w:styleId="104">
    <w:name w:val="标准文件_示例后续"/>
    <w:basedOn w:val="1"/>
    <w:qFormat/>
    <w:uiPriority w:val="0"/>
    <w:pPr>
      <w:adjustRightInd/>
      <w:spacing w:line="240" w:lineRule="auto"/>
      <w:ind w:firstLine="200" w:firstLineChars="200"/>
    </w:pPr>
    <w:rPr>
      <w:sz w:val="18"/>
      <w:szCs w:val="24"/>
    </w:rPr>
  </w:style>
  <w:style w:type="paragraph" w:customStyle="1" w:styleId="105">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6">
    <w:name w:val="标准文件_四级条标题"/>
    <w:next w:val="64"/>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7">
    <w:name w:val="脚注文本 Char"/>
    <w:link w:val="26"/>
    <w:semiHidden/>
    <w:qFormat/>
    <w:uiPriority w:val="0"/>
    <w:rPr>
      <w:rFonts w:ascii="宋体"/>
      <w:kern w:val="2"/>
      <w:sz w:val="18"/>
      <w:szCs w:val="18"/>
    </w:rPr>
  </w:style>
  <w:style w:type="paragraph" w:customStyle="1" w:styleId="108">
    <w:name w:val="标准文件_条文脚注"/>
    <w:basedOn w:val="26"/>
    <w:qFormat/>
    <w:uiPriority w:val="0"/>
    <w:pPr>
      <w:adjustRightInd w:val="0"/>
      <w:spacing w:line="240" w:lineRule="auto"/>
      <w:ind w:left="0" w:leftChars="0" w:firstLine="200" w:firstLineChars="200"/>
      <w:jc w:val="both"/>
    </w:pPr>
    <w:rPr>
      <w:rFonts w:hAnsi="宋体"/>
    </w:rPr>
  </w:style>
  <w:style w:type="paragraph" w:customStyle="1" w:styleId="109">
    <w:name w:val="标准文件_图表脚注"/>
    <w:basedOn w:val="1"/>
    <w:next w:val="64"/>
    <w:qFormat/>
    <w:uiPriority w:val="0"/>
    <w:pPr>
      <w:numPr>
        <w:ilvl w:val="0"/>
        <w:numId w:val="12"/>
      </w:numPr>
      <w:spacing w:line="240" w:lineRule="auto"/>
      <w:jc w:val="left"/>
    </w:pPr>
    <w:rPr>
      <w:rFonts w:ascii="宋体" w:hAnsi="宋体"/>
      <w:sz w:val="18"/>
    </w:rPr>
  </w:style>
  <w:style w:type="character" w:customStyle="1" w:styleId="110">
    <w:name w:val="标准文件_图表脚注内容"/>
    <w:qFormat/>
    <w:uiPriority w:val="0"/>
    <w:rPr>
      <w:rFonts w:ascii="宋体" w:hAnsi="宋体" w:eastAsia="宋体" w:cs="Times New Roman"/>
      <w:spacing w:val="0"/>
      <w:sz w:val="18"/>
      <w:vertAlign w:val="superscript"/>
    </w:rPr>
  </w:style>
  <w:style w:type="paragraph" w:customStyle="1" w:styleId="111">
    <w:name w:val="标准文件_五级条标题"/>
    <w:next w:val="64"/>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2">
    <w:name w:val="标准文件_章标题"/>
    <w:next w:val="6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3">
    <w:name w:val="标准文件_一级条标题"/>
    <w:basedOn w:val="112"/>
    <w:next w:val="64"/>
    <w:qFormat/>
    <w:uiPriority w:val="0"/>
    <w:pPr>
      <w:numPr>
        <w:ilvl w:val="2"/>
      </w:numPr>
      <w:spacing w:before="50" w:beforeLines="50" w:after="50" w:afterLines="50"/>
      <w:outlineLvl w:val="1"/>
    </w:pPr>
  </w:style>
  <w:style w:type="paragraph" w:customStyle="1" w:styleId="114">
    <w:name w:val="标准文件_一致程度"/>
    <w:basedOn w:val="1"/>
    <w:qFormat/>
    <w:uiPriority w:val="0"/>
    <w:pPr>
      <w:spacing w:line="440" w:lineRule="exact"/>
      <w:jc w:val="center"/>
    </w:pPr>
    <w:rPr>
      <w:sz w:val="28"/>
    </w:rPr>
  </w:style>
  <w:style w:type="paragraph" w:customStyle="1" w:styleId="115">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6">
    <w:name w:val="标准文件_英文图表脚注"/>
    <w:basedOn w:val="63"/>
    <w:qFormat/>
    <w:uiPriority w:val="0"/>
    <w:pPr>
      <w:widowControl/>
      <w:adjustRightInd/>
      <w:snapToGrid/>
      <w:spacing w:line="240" w:lineRule="auto"/>
      <w:ind w:left="79" w:hanging="79" w:hangingChars="80"/>
    </w:pPr>
    <w:rPr>
      <w:rFonts w:ascii="宋体" w:hAnsi="宋体"/>
    </w:rPr>
  </w:style>
  <w:style w:type="paragraph" w:customStyle="1" w:styleId="117">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8">
    <w:name w:val="标准文件_英文注："/>
    <w:basedOn w:val="1"/>
    <w:next w:val="64"/>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9">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20">
    <w:name w:val="标准文件_正文表标题"/>
    <w:next w:val="64"/>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1">
    <w:name w:val="标准文件_正文公式"/>
    <w:basedOn w:val="1"/>
    <w:next w:val="63"/>
    <w:qFormat/>
    <w:uiPriority w:val="0"/>
    <w:pPr>
      <w:tabs>
        <w:tab w:val="center" w:pos="4678"/>
        <w:tab w:val="right" w:leader="middleDot" w:pos="9356"/>
      </w:tabs>
      <w:spacing w:line="240" w:lineRule="auto"/>
    </w:pPr>
    <w:rPr>
      <w:rFonts w:ascii="宋体" w:hAnsi="宋体"/>
    </w:rPr>
  </w:style>
  <w:style w:type="paragraph" w:customStyle="1" w:styleId="122">
    <w:name w:val="标准文件_正文图标题"/>
    <w:next w:val="64"/>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3">
    <w:name w:val="标准文件_正文英文表标题"/>
    <w:next w:val="64"/>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4">
    <w:name w:val="标准文件_正文英文图标题"/>
    <w:next w:val="64"/>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5">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6">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7">
    <w:name w:val="发布部门"/>
    <w:next w:val="64"/>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8">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9">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3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3">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4">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5">
    <w:name w:val="封面正文"/>
    <w:qFormat/>
    <w:uiPriority w:val="0"/>
    <w:pPr>
      <w:jc w:val="both"/>
    </w:pPr>
    <w:rPr>
      <w:rFonts w:ascii="Times New Roman" w:hAnsi="Times New Roman" w:eastAsia="宋体" w:cs="Times New Roman"/>
      <w:lang w:val="en-US" w:eastAsia="zh-CN" w:bidi="ar-SA"/>
    </w:rPr>
  </w:style>
  <w:style w:type="paragraph" w:customStyle="1" w:styleId="136">
    <w:name w:val="附录二级无标题条"/>
    <w:basedOn w:val="1"/>
    <w:next w:val="64"/>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7">
    <w:name w:val="附录三级无标题条"/>
    <w:basedOn w:val="136"/>
    <w:next w:val="64"/>
    <w:qFormat/>
    <w:uiPriority w:val="0"/>
    <w:pPr>
      <w:outlineLvl w:val="4"/>
    </w:pPr>
  </w:style>
  <w:style w:type="paragraph" w:customStyle="1" w:styleId="138">
    <w:name w:val="附录四级无标题条"/>
    <w:basedOn w:val="137"/>
    <w:next w:val="64"/>
    <w:qFormat/>
    <w:uiPriority w:val="0"/>
    <w:pPr>
      <w:outlineLvl w:val="5"/>
    </w:pPr>
  </w:style>
  <w:style w:type="paragraph" w:customStyle="1" w:styleId="139">
    <w:name w:val="附录图"/>
    <w:next w:val="64"/>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40">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41">
    <w:name w:val="附录五级无标题条"/>
    <w:basedOn w:val="138"/>
    <w:next w:val="64"/>
    <w:qFormat/>
    <w:uiPriority w:val="0"/>
    <w:pPr>
      <w:outlineLvl w:val="6"/>
    </w:pPr>
  </w:style>
  <w:style w:type="paragraph" w:customStyle="1" w:styleId="142">
    <w:name w:val="附录性质"/>
    <w:basedOn w:val="1"/>
    <w:qFormat/>
    <w:uiPriority w:val="0"/>
    <w:pPr>
      <w:widowControl/>
      <w:adjustRightInd/>
      <w:jc w:val="center"/>
    </w:pPr>
    <w:rPr>
      <w:rFonts w:ascii="黑体" w:eastAsia="黑体"/>
    </w:rPr>
  </w:style>
  <w:style w:type="paragraph" w:customStyle="1" w:styleId="143">
    <w:name w:val="附录一级无标题条"/>
    <w:basedOn w:val="95"/>
    <w:next w:val="64"/>
    <w:qFormat/>
    <w:uiPriority w:val="0"/>
    <w:pPr>
      <w:autoSpaceDN w:val="0"/>
      <w:outlineLvl w:val="2"/>
    </w:pPr>
    <w:rPr>
      <w:rFonts w:ascii="宋体" w:hAnsi="宋体" w:eastAsia="宋体"/>
    </w:rPr>
  </w:style>
  <w:style w:type="character" w:customStyle="1" w:styleId="144">
    <w:name w:val="个人答复风格"/>
    <w:qFormat/>
    <w:uiPriority w:val="0"/>
    <w:rPr>
      <w:rFonts w:ascii="Arial" w:hAnsi="Arial" w:eastAsia="宋体" w:cs="Arial"/>
      <w:color w:val="auto"/>
      <w:spacing w:val="0"/>
      <w:sz w:val="20"/>
    </w:rPr>
  </w:style>
  <w:style w:type="character" w:customStyle="1" w:styleId="145">
    <w:name w:val="个人撰写风格"/>
    <w:qFormat/>
    <w:uiPriority w:val="0"/>
    <w:rPr>
      <w:rFonts w:ascii="Arial" w:hAnsi="Arial" w:eastAsia="宋体" w:cs="Arial"/>
      <w:color w:val="auto"/>
      <w:spacing w:val="0"/>
      <w:sz w:val="20"/>
    </w:rPr>
  </w:style>
  <w:style w:type="paragraph" w:customStyle="1" w:styleId="146">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7">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8">
    <w:name w:val="列项·"/>
    <w:basedOn w:val="64"/>
    <w:qFormat/>
    <w:uiPriority w:val="0"/>
    <w:pPr>
      <w:tabs>
        <w:tab w:val="left" w:pos="840"/>
      </w:tabs>
    </w:pPr>
  </w:style>
  <w:style w:type="paragraph" w:customStyle="1" w:styleId="14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0">
    <w:name w:val="目录 21"/>
    <w:basedOn w:val="1"/>
    <w:next w:val="1"/>
    <w:autoRedefine/>
    <w:semiHidden/>
    <w:qFormat/>
    <w:uiPriority w:val="0"/>
    <w:pPr>
      <w:adjustRightInd/>
      <w:spacing w:line="240" w:lineRule="auto"/>
      <w:jc w:val="left"/>
    </w:pPr>
    <w:rPr>
      <w:bCs/>
      <w:iCs/>
    </w:rPr>
  </w:style>
  <w:style w:type="paragraph" w:customStyle="1" w:styleId="151">
    <w:name w:val="目录 31"/>
    <w:basedOn w:val="1"/>
    <w:next w:val="1"/>
    <w:autoRedefine/>
    <w:semiHidden/>
    <w:qFormat/>
    <w:uiPriority w:val="0"/>
    <w:pPr>
      <w:spacing w:line="240" w:lineRule="auto"/>
    </w:pPr>
    <w:rPr>
      <w:rFonts w:ascii="宋体" w:hAnsi="宋体"/>
      <w:iCs/>
    </w:rPr>
  </w:style>
  <w:style w:type="paragraph" w:customStyle="1" w:styleId="152">
    <w:name w:val="目录 41"/>
    <w:basedOn w:val="1"/>
    <w:next w:val="1"/>
    <w:autoRedefine/>
    <w:semiHidden/>
    <w:qFormat/>
    <w:uiPriority w:val="0"/>
    <w:pPr>
      <w:adjustRightInd/>
      <w:spacing w:line="240" w:lineRule="auto"/>
      <w:jc w:val="left"/>
    </w:pPr>
  </w:style>
  <w:style w:type="paragraph" w:customStyle="1" w:styleId="153">
    <w:name w:val="目录 51"/>
    <w:basedOn w:val="1"/>
    <w:next w:val="1"/>
    <w:autoRedefine/>
    <w:semiHidden/>
    <w:qFormat/>
    <w:uiPriority w:val="0"/>
    <w:pPr>
      <w:spacing w:line="240" w:lineRule="auto"/>
    </w:pPr>
    <w:rPr>
      <w:rFonts w:ascii="宋体" w:hAnsi="宋体"/>
    </w:rPr>
  </w:style>
  <w:style w:type="paragraph" w:customStyle="1" w:styleId="154">
    <w:name w:val="目录 61"/>
    <w:basedOn w:val="1"/>
    <w:next w:val="1"/>
    <w:autoRedefine/>
    <w:semiHidden/>
    <w:qFormat/>
    <w:uiPriority w:val="0"/>
    <w:pPr>
      <w:adjustRightInd/>
      <w:spacing w:line="240" w:lineRule="auto"/>
      <w:jc w:val="left"/>
    </w:pPr>
  </w:style>
  <w:style w:type="paragraph" w:customStyle="1" w:styleId="155">
    <w:name w:val="目录 71"/>
    <w:basedOn w:val="154"/>
    <w:autoRedefine/>
    <w:semiHidden/>
    <w:qFormat/>
    <w:uiPriority w:val="0"/>
    <w:pPr>
      <w:ind w:left="1260"/>
    </w:pPr>
  </w:style>
  <w:style w:type="paragraph" w:customStyle="1" w:styleId="156">
    <w:name w:val="目录 81"/>
    <w:basedOn w:val="155"/>
    <w:autoRedefine/>
    <w:semiHidden/>
    <w:qFormat/>
    <w:uiPriority w:val="0"/>
    <w:pPr>
      <w:ind w:left="1470"/>
    </w:pPr>
  </w:style>
  <w:style w:type="paragraph" w:customStyle="1" w:styleId="157">
    <w:name w:val="目录 91"/>
    <w:basedOn w:val="156"/>
    <w:autoRedefine/>
    <w:semiHidden/>
    <w:qFormat/>
    <w:uiPriority w:val="0"/>
    <w:pPr>
      <w:ind w:left="1680"/>
    </w:pPr>
  </w:style>
  <w:style w:type="paragraph" w:customStyle="1" w:styleId="15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9">
    <w:name w:val="其他发布部门"/>
    <w:basedOn w:val="127"/>
    <w:qFormat/>
    <w:uiPriority w:val="0"/>
    <w:pPr>
      <w:framePr w:wrap="around"/>
      <w:spacing w:line="0" w:lineRule="atLeast"/>
    </w:pPr>
    <w:rPr>
      <w:rFonts w:ascii="黑体" w:eastAsia="黑体"/>
      <w:b w:val="0"/>
    </w:rPr>
  </w:style>
  <w:style w:type="paragraph" w:customStyle="1" w:styleId="160">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61">
    <w:name w:val="三级无标题条"/>
    <w:basedOn w:val="1"/>
    <w:qFormat/>
    <w:uiPriority w:val="0"/>
    <w:pPr>
      <w:numPr>
        <w:ilvl w:val="4"/>
        <w:numId w:val="20"/>
      </w:numPr>
      <w:adjustRightInd/>
      <w:spacing w:line="240" w:lineRule="auto"/>
    </w:pPr>
    <w:rPr>
      <w:rFonts w:ascii="宋体" w:hAnsi="宋体"/>
      <w:szCs w:val="24"/>
    </w:rPr>
  </w:style>
  <w:style w:type="paragraph" w:customStyle="1" w:styleId="162">
    <w:name w:val="实施日期"/>
    <w:basedOn w:val="128"/>
    <w:qFormat/>
    <w:uiPriority w:val="0"/>
    <w:pPr>
      <w:framePr w:hSpace="0" w:wrap="around" w:xAlign="right"/>
      <w:jc w:val="right"/>
    </w:pPr>
  </w:style>
  <w:style w:type="paragraph" w:customStyle="1" w:styleId="163">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4">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5">
    <w:name w:val="无标题条"/>
    <w:next w:val="64"/>
    <w:qFormat/>
    <w:uiPriority w:val="0"/>
    <w:pPr>
      <w:jc w:val="both"/>
    </w:pPr>
    <w:rPr>
      <w:rFonts w:ascii="宋体" w:hAnsi="宋体" w:eastAsia="宋体" w:cs="Times New Roman"/>
      <w:sz w:val="21"/>
      <w:lang w:val="en-US" w:eastAsia="zh-CN" w:bidi="ar-SA"/>
    </w:rPr>
  </w:style>
  <w:style w:type="paragraph" w:customStyle="1" w:styleId="166">
    <w:name w:val="五级无标题条"/>
    <w:basedOn w:val="1"/>
    <w:qFormat/>
    <w:uiPriority w:val="0"/>
    <w:pPr>
      <w:numPr>
        <w:ilvl w:val="6"/>
        <w:numId w:val="20"/>
      </w:numPr>
      <w:adjustRightInd/>
    </w:pPr>
    <w:rPr>
      <w:szCs w:val="24"/>
    </w:rPr>
  </w:style>
  <w:style w:type="paragraph" w:customStyle="1" w:styleId="167">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8">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9">
    <w:name w:val="注×:后续"/>
    <w:basedOn w:val="168"/>
    <w:qFormat/>
    <w:uiPriority w:val="0"/>
    <w:pPr>
      <w:ind w:left="1406" w:leftChars="0" w:hanging="499" w:firstLineChars="0"/>
    </w:pPr>
  </w:style>
  <w:style w:type="paragraph" w:customStyle="1" w:styleId="170">
    <w:name w:val="标准文件_一级无标题"/>
    <w:basedOn w:val="113"/>
    <w:qFormat/>
    <w:uiPriority w:val="0"/>
    <w:pPr>
      <w:spacing w:before="0" w:beforeLines="0" w:after="0" w:afterLines="0"/>
      <w:outlineLvl w:val="9"/>
    </w:pPr>
    <w:rPr>
      <w:rFonts w:ascii="宋体" w:eastAsia="宋体"/>
    </w:rPr>
  </w:style>
  <w:style w:type="paragraph" w:customStyle="1" w:styleId="171">
    <w:name w:val="标准文件_五级无标题"/>
    <w:basedOn w:val="111"/>
    <w:qFormat/>
    <w:uiPriority w:val="0"/>
    <w:pPr>
      <w:spacing w:before="0" w:beforeLines="0" w:after="0" w:afterLines="0"/>
      <w:outlineLvl w:val="9"/>
    </w:pPr>
    <w:rPr>
      <w:rFonts w:ascii="宋体" w:eastAsia="宋体"/>
    </w:rPr>
  </w:style>
  <w:style w:type="paragraph" w:customStyle="1" w:styleId="172">
    <w:name w:val="标准文件_三级无标题"/>
    <w:basedOn w:val="102"/>
    <w:qFormat/>
    <w:uiPriority w:val="0"/>
    <w:pPr>
      <w:spacing w:before="0" w:beforeLines="0" w:after="0" w:afterLines="0"/>
      <w:outlineLvl w:val="9"/>
    </w:pPr>
    <w:rPr>
      <w:rFonts w:ascii="宋体" w:eastAsia="宋体"/>
    </w:rPr>
  </w:style>
  <w:style w:type="paragraph" w:customStyle="1" w:styleId="173">
    <w:name w:val="标准文件_二级无标题"/>
    <w:basedOn w:val="73"/>
    <w:qFormat/>
    <w:uiPriority w:val="0"/>
    <w:pPr>
      <w:spacing w:before="0" w:beforeLines="0" w:after="0" w:afterLines="0"/>
      <w:outlineLvl w:val="9"/>
    </w:pPr>
    <w:rPr>
      <w:rFonts w:ascii="宋体" w:eastAsia="宋体"/>
    </w:rPr>
  </w:style>
  <w:style w:type="paragraph" w:customStyle="1" w:styleId="174">
    <w:name w:val="标准_四级无标题"/>
    <w:basedOn w:val="106"/>
    <w:next w:val="64"/>
    <w:qFormat/>
    <w:uiPriority w:val="0"/>
    <w:rPr>
      <w:rFonts w:eastAsia="宋体"/>
    </w:rPr>
  </w:style>
  <w:style w:type="paragraph" w:customStyle="1" w:styleId="175">
    <w:name w:val="标准文件_四级无标题"/>
    <w:basedOn w:val="106"/>
    <w:qFormat/>
    <w:uiPriority w:val="0"/>
    <w:pPr>
      <w:spacing w:before="0" w:beforeLines="0" w:after="0" w:afterLines="0"/>
      <w:outlineLvl w:val="9"/>
    </w:pPr>
    <w:rPr>
      <w:rFonts w:ascii="宋体" w:hAnsi="黑体" w:eastAsia="宋体"/>
      <w:szCs w:val="52"/>
    </w:rPr>
  </w:style>
  <w:style w:type="paragraph" w:customStyle="1" w:styleId="176">
    <w:name w:val="标准文件_大写罗马数字编号列项"/>
    <w:basedOn w:val="64"/>
    <w:qFormat/>
    <w:uiPriority w:val="0"/>
    <w:pPr>
      <w:numPr>
        <w:ilvl w:val="0"/>
        <w:numId w:val="23"/>
      </w:numPr>
      <w:ind w:firstLine="0" w:firstLineChars="0"/>
    </w:pPr>
    <w:rPr>
      <w:rFonts w:ascii="Times New Roman" w:cs="Arial"/>
      <w:szCs w:val="28"/>
    </w:rPr>
  </w:style>
  <w:style w:type="paragraph" w:customStyle="1" w:styleId="177">
    <w:name w:val="标准文件_小写罗马数字编号列项"/>
    <w:basedOn w:val="64"/>
    <w:qFormat/>
    <w:uiPriority w:val="0"/>
    <w:pPr>
      <w:numPr>
        <w:ilvl w:val="0"/>
        <w:numId w:val="24"/>
      </w:numPr>
      <w:ind w:firstLine="0" w:firstLineChars="0"/>
    </w:pPr>
    <w:rPr>
      <w:rFonts w:cs="Arial"/>
      <w:szCs w:val="28"/>
    </w:rPr>
  </w:style>
  <w:style w:type="paragraph" w:customStyle="1" w:styleId="178">
    <w:name w:val="标准文件_附录标题"/>
    <w:basedOn w:val="84"/>
    <w:qFormat/>
    <w:uiPriority w:val="0"/>
    <w:pPr>
      <w:numPr>
        <w:numId w:val="0"/>
      </w:numPr>
      <w:spacing w:after="280"/>
      <w:outlineLvl w:val="9"/>
    </w:pPr>
  </w:style>
  <w:style w:type="paragraph" w:customStyle="1" w:styleId="179">
    <w:name w:val="标准文件_二级项"/>
    <w:qFormat/>
    <w:uiPriority w:val="0"/>
    <w:rPr>
      <w:rFonts w:ascii="宋体" w:hAnsi="Times New Roman" w:eastAsia="宋体" w:cs="Times New Roman"/>
      <w:sz w:val="21"/>
      <w:lang w:val="en-US" w:eastAsia="zh-CN" w:bidi="ar-SA"/>
    </w:rPr>
  </w:style>
  <w:style w:type="paragraph" w:customStyle="1" w:styleId="180">
    <w:name w:val="标准文件_三级项"/>
    <w:basedOn w:val="1"/>
    <w:qFormat/>
    <w:uiPriority w:val="0"/>
    <w:pPr>
      <w:numPr>
        <w:ilvl w:val="2"/>
        <w:numId w:val="21"/>
      </w:numPr>
      <w:spacing w:line="536870612" w:lineRule="auto"/>
    </w:pPr>
    <w:rPr>
      <w:rFonts w:ascii="Times New Roman" w:hAnsi="Times New Roman"/>
    </w:rPr>
  </w:style>
  <w:style w:type="paragraph" w:customStyle="1" w:styleId="181">
    <w:name w:val="图表脚注说明"/>
    <w:basedOn w:val="1"/>
    <w:next w:val="64"/>
    <w:qFormat/>
    <w:uiPriority w:val="0"/>
    <w:pPr>
      <w:numPr>
        <w:ilvl w:val="0"/>
        <w:numId w:val="25"/>
      </w:numPr>
      <w:adjustRightInd/>
      <w:spacing w:line="240" w:lineRule="auto"/>
    </w:pPr>
    <w:rPr>
      <w:rFonts w:ascii="宋体" w:hAnsi="Times New Roman"/>
      <w:sz w:val="18"/>
      <w:szCs w:val="18"/>
    </w:rPr>
  </w:style>
  <w:style w:type="paragraph" w:customStyle="1" w:styleId="182">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3">
    <w:name w:val="标准文件_索引字母"/>
    <w:next w:val="64"/>
    <w:qFormat/>
    <w:uiPriority w:val="0"/>
    <w:pPr>
      <w:jc w:val="center"/>
    </w:pPr>
    <w:rPr>
      <w:rFonts w:ascii="宋体" w:hAnsi="宋体" w:eastAsia="Times New Roman" w:cs="Times New Roman"/>
      <w:b/>
      <w:kern w:val="2"/>
      <w:sz w:val="21"/>
      <w:lang w:val="en-US" w:eastAsia="zh-CN" w:bidi="ar-SA"/>
    </w:rPr>
  </w:style>
  <w:style w:type="paragraph" w:customStyle="1" w:styleId="184">
    <w:name w:val="标准文件_附录前"/>
    <w:next w:val="64"/>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5">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6">
    <w:name w:val="标准文件_表格"/>
    <w:basedOn w:val="64"/>
    <w:qFormat/>
    <w:uiPriority w:val="0"/>
    <w:pPr>
      <w:ind w:firstLine="0" w:firstLineChars="0"/>
      <w:jc w:val="center"/>
    </w:pPr>
    <w:rPr>
      <w:sz w:val="18"/>
    </w:rPr>
  </w:style>
  <w:style w:type="paragraph" w:customStyle="1" w:styleId="187">
    <w:name w:val="标准文件_注："/>
    <w:next w:val="64"/>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8">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9">
    <w:name w:val="标准文件_示例："/>
    <w:next w:val="190"/>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90">
    <w:name w:val="标准文件_示例内容"/>
    <w:basedOn w:val="64"/>
    <w:qFormat/>
    <w:uiPriority w:val="0"/>
    <w:pPr>
      <w:ind w:firstLine="420"/>
    </w:pPr>
    <w:rPr>
      <w:sz w:val="18"/>
    </w:rPr>
  </w:style>
  <w:style w:type="paragraph" w:customStyle="1" w:styleId="191">
    <w:name w:val="标准文件_示例×："/>
    <w:basedOn w:val="1"/>
    <w:next w:val="190"/>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92">
    <w:name w:val="标准文件_段 Char"/>
    <w:link w:val="64"/>
    <w:qFormat/>
    <w:uiPriority w:val="0"/>
    <w:rPr>
      <w:rFonts w:ascii="宋体" w:hAnsi="Times New Roman"/>
      <w:sz w:val="21"/>
    </w:rPr>
  </w:style>
  <w:style w:type="paragraph" w:customStyle="1" w:styleId="193">
    <w:name w:val="标准文件_表格续"/>
    <w:basedOn w:val="64"/>
    <w:next w:val="64"/>
    <w:qFormat/>
    <w:uiPriority w:val="0"/>
    <w:pPr>
      <w:jc w:val="center"/>
    </w:pPr>
    <w:rPr>
      <w:rFonts w:ascii="黑体" w:hAnsi="黑体" w:eastAsia="黑体"/>
    </w:rPr>
  </w:style>
  <w:style w:type="character" w:styleId="194">
    <w:name w:val="Placeholder Text"/>
    <w:basedOn w:val="35"/>
    <w:semiHidden/>
    <w:qFormat/>
    <w:uiPriority w:val="99"/>
    <w:rPr>
      <w:color w:val="808080"/>
    </w:rPr>
  </w:style>
  <w:style w:type="paragraph" w:customStyle="1" w:styleId="195">
    <w:name w:val="标准文件_二级项2"/>
    <w:basedOn w:val="64"/>
    <w:qFormat/>
    <w:uiPriority w:val="0"/>
    <w:pPr>
      <w:numPr>
        <w:ilvl w:val="1"/>
        <w:numId w:val="21"/>
      </w:numPr>
      <w:ind w:firstLine="0" w:firstLineChars="0"/>
    </w:pPr>
  </w:style>
  <w:style w:type="paragraph" w:customStyle="1" w:styleId="196">
    <w:name w:val="标准文件_三级项2"/>
    <w:basedOn w:val="64"/>
    <w:qFormat/>
    <w:uiPriority w:val="0"/>
    <w:pPr>
      <w:numPr>
        <w:ilvl w:val="0"/>
        <w:numId w:val="30"/>
      </w:numPr>
      <w:spacing w:line="300" w:lineRule="exact"/>
      <w:ind w:firstLineChars="0"/>
    </w:pPr>
    <w:rPr>
      <w:rFonts w:ascii="Times New Roman"/>
    </w:rPr>
  </w:style>
  <w:style w:type="paragraph" w:customStyle="1" w:styleId="197">
    <w:name w:val="标准文件_一级项2"/>
    <w:basedOn w:val="64"/>
    <w:qFormat/>
    <w:uiPriority w:val="0"/>
    <w:pPr>
      <w:numPr>
        <w:ilvl w:val="0"/>
        <w:numId w:val="31"/>
      </w:numPr>
      <w:spacing w:line="300" w:lineRule="exact"/>
      <w:ind w:firstLineChars="0"/>
    </w:pPr>
    <w:rPr>
      <w:rFonts w:ascii="Times New Roman"/>
    </w:rPr>
  </w:style>
  <w:style w:type="paragraph" w:customStyle="1" w:styleId="198">
    <w:name w:val="标准文件_提示"/>
    <w:basedOn w:val="64"/>
    <w:next w:val="64"/>
    <w:qFormat/>
    <w:uiPriority w:val="0"/>
    <w:pPr>
      <w:ind w:firstLine="420"/>
    </w:pPr>
    <w:rPr>
      <w:rFonts w:ascii="黑体" w:eastAsia="黑体"/>
    </w:rPr>
  </w:style>
  <w:style w:type="character" w:customStyle="1" w:styleId="199">
    <w:name w:val="标准文件_来源"/>
    <w:basedOn w:val="35"/>
    <w:qFormat/>
    <w:uiPriority w:val="1"/>
    <w:rPr>
      <w:rFonts w:eastAsia="宋体"/>
      <w:sz w:val="21"/>
    </w:rPr>
  </w:style>
  <w:style w:type="paragraph" w:customStyle="1" w:styleId="200">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201">
    <w:name w:val="其他发布日期"/>
    <w:basedOn w:val="128"/>
    <w:qFormat/>
    <w:uiPriority w:val="0"/>
    <w:pPr>
      <w:framePr w:w="3997" w:h="471" w:hRule="exact" w:hSpace="0" w:vSpace="181" w:wrap="around" w:vAnchor="page" w:hAnchor="page" w:x="1419" w:y="14097"/>
    </w:pPr>
  </w:style>
  <w:style w:type="paragraph" w:customStyle="1" w:styleId="202">
    <w:name w:val="其他实施日期"/>
    <w:basedOn w:val="162"/>
    <w:qFormat/>
    <w:uiPriority w:val="0"/>
    <w:pPr>
      <w:framePr w:w="3997" w:h="471" w:hRule="exact" w:vSpace="181" w:wrap="around" w:vAnchor="page" w:hAnchor="page" w:x="7089" w:y="14097"/>
    </w:pPr>
  </w:style>
  <w:style w:type="paragraph" w:customStyle="1" w:styleId="203">
    <w:name w:val="标准文件_文件编号"/>
    <w:basedOn w:val="64"/>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4">
    <w:name w:val="标准文件_替换文件编号"/>
    <w:basedOn w:val="203"/>
    <w:qFormat/>
    <w:uiPriority w:val="0"/>
    <w:pPr>
      <w:framePr/>
      <w:spacing w:before="57"/>
    </w:pPr>
    <w:rPr>
      <w:sz w:val="21"/>
    </w:rPr>
  </w:style>
  <w:style w:type="paragraph" w:customStyle="1" w:styleId="205">
    <w:name w:val="标准文件_文件名称"/>
    <w:basedOn w:val="64"/>
    <w:next w:val="64"/>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6">
    <w:name w:val="标准文件_附录图标号"/>
    <w:basedOn w:val="64"/>
    <w:next w:val="64"/>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7">
    <w:name w:val="标准文件_附录表标号"/>
    <w:basedOn w:val="64"/>
    <w:next w:val="64"/>
    <w:qFormat/>
    <w:uiPriority w:val="0"/>
    <w:pPr>
      <w:numPr>
        <w:ilvl w:val="0"/>
        <w:numId w:val="5"/>
      </w:numPr>
      <w:spacing w:line="14" w:lineRule="exact"/>
      <w:ind w:firstLine="0" w:firstLineChars="0"/>
      <w:jc w:val="center"/>
    </w:pPr>
    <w:rPr>
      <w:rFonts w:eastAsia="黑体"/>
      <w:vanish/>
      <w:sz w:val="2"/>
    </w:rPr>
  </w:style>
  <w:style w:type="paragraph" w:customStyle="1" w:styleId="208">
    <w:name w:val="标准文件_引言一级条标题"/>
    <w:basedOn w:val="64"/>
    <w:next w:val="64"/>
    <w:qFormat/>
    <w:uiPriority w:val="0"/>
    <w:pPr>
      <w:numPr>
        <w:ilvl w:val="1"/>
        <w:numId w:val="8"/>
      </w:numPr>
      <w:spacing w:before="50" w:beforeLines="50" w:after="50" w:afterLines="50"/>
      <w:ind w:firstLineChars="0"/>
    </w:pPr>
    <w:rPr>
      <w:rFonts w:ascii="黑体" w:eastAsia="黑体"/>
    </w:rPr>
  </w:style>
  <w:style w:type="paragraph" w:customStyle="1" w:styleId="209">
    <w:name w:val="标准文件_引言二级条标题"/>
    <w:basedOn w:val="64"/>
    <w:next w:val="64"/>
    <w:qFormat/>
    <w:uiPriority w:val="0"/>
    <w:pPr>
      <w:numPr>
        <w:ilvl w:val="2"/>
        <w:numId w:val="8"/>
      </w:numPr>
      <w:spacing w:before="50" w:beforeLines="50" w:after="50" w:afterLines="50"/>
      <w:ind w:firstLineChars="0"/>
    </w:pPr>
    <w:rPr>
      <w:rFonts w:ascii="黑体" w:eastAsia="黑体"/>
    </w:rPr>
  </w:style>
  <w:style w:type="paragraph" w:customStyle="1" w:styleId="210">
    <w:name w:val="标准文件_引言三级条标题"/>
    <w:basedOn w:val="64"/>
    <w:next w:val="64"/>
    <w:qFormat/>
    <w:uiPriority w:val="0"/>
    <w:pPr>
      <w:numPr>
        <w:ilvl w:val="3"/>
        <w:numId w:val="8"/>
      </w:numPr>
      <w:spacing w:before="50" w:beforeLines="50" w:after="50" w:afterLines="50"/>
      <w:ind w:firstLineChars="0"/>
    </w:pPr>
    <w:rPr>
      <w:rFonts w:ascii="黑体" w:eastAsia="黑体"/>
    </w:rPr>
  </w:style>
  <w:style w:type="paragraph" w:customStyle="1" w:styleId="211">
    <w:name w:val="标准文件_引言四级条标题"/>
    <w:basedOn w:val="64"/>
    <w:next w:val="64"/>
    <w:qFormat/>
    <w:uiPriority w:val="0"/>
    <w:pPr>
      <w:numPr>
        <w:ilvl w:val="4"/>
        <w:numId w:val="8"/>
      </w:numPr>
      <w:spacing w:before="50" w:beforeLines="50" w:after="50" w:afterLines="50"/>
      <w:ind w:firstLineChars="0"/>
    </w:pPr>
    <w:rPr>
      <w:rFonts w:ascii="黑体" w:eastAsia="黑体"/>
    </w:rPr>
  </w:style>
  <w:style w:type="paragraph" w:customStyle="1" w:styleId="212">
    <w:name w:val="标准文件_引言五级条标题"/>
    <w:basedOn w:val="64"/>
    <w:next w:val="64"/>
    <w:qFormat/>
    <w:uiPriority w:val="0"/>
    <w:pPr>
      <w:numPr>
        <w:ilvl w:val="5"/>
        <w:numId w:val="8"/>
      </w:numPr>
      <w:spacing w:before="50" w:beforeLines="50" w:after="50" w:afterLines="50"/>
      <w:ind w:firstLineChars="0"/>
    </w:pPr>
    <w:rPr>
      <w:rFonts w:ascii="黑体" w:eastAsia="黑体"/>
    </w:rPr>
  </w:style>
  <w:style w:type="paragraph" w:customStyle="1" w:styleId="213">
    <w:name w:val="标准文件_注后"/>
    <w:basedOn w:val="64"/>
    <w:qFormat/>
    <w:uiPriority w:val="0"/>
    <w:pPr>
      <w:ind w:left="811" w:firstLine="0" w:firstLineChars="0"/>
    </w:pPr>
    <w:rPr>
      <w:sz w:val="18"/>
    </w:rPr>
  </w:style>
  <w:style w:type="paragraph" w:customStyle="1" w:styleId="214">
    <w:name w:val="标准文件_注X后"/>
    <w:basedOn w:val="64"/>
    <w:qFormat/>
    <w:uiPriority w:val="0"/>
    <w:pPr>
      <w:ind w:left="811" w:firstLine="0" w:firstLineChars="0"/>
    </w:pPr>
    <w:rPr>
      <w:sz w:val="18"/>
    </w:rPr>
  </w:style>
  <w:style w:type="paragraph" w:customStyle="1" w:styleId="215">
    <w:name w:val="标准文件_示例后"/>
    <w:basedOn w:val="64"/>
    <w:qFormat/>
    <w:uiPriority w:val="0"/>
    <w:pPr>
      <w:ind w:left="964" w:firstLine="0" w:firstLineChars="0"/>
    </w:pPr>
    <w:rPr>
      <w:sz w:val="18"/>
    </w:rPr>
  </w:style>
  <w:style w:type="paragraph" w:customStyle="1" w:styleId="216">
    <w:name w:val="标准文件_示例X后"/>
    <w:basedOn w:val="64"/>
    <w:link w:val="217"/>
    <w:qFormat/>
    <w:uiPriority w:val="0"/>
    <w:pPr>
      <w:ind w:left="1049" w:firstLine="0" w:firstLineChars="0"/>
    </w:pPr>
    <w:rPr>
      <w:sz w:val="18"/>
    </w:rPr>
  </w:style>
  <w:style w:type="character" w:customStyle="1" w:styleId="217">
    <w:name w:val="标准文件_示例X后 字符"/>
    <w:basedOn w:val="192"/>
    <w:link w:val="216"/>
    <w:qFormat/>
    <w:uiPriority w:val="0"/>
    <w:rPr>
      <w:rFonts w:ascii="宋体" w:hAnsi="Times New Roman"/>
      <w:sz w:val="18"/>
    </w:rPr>
  </w:style>
  <w:style w:type="paragraph" w:customStyle="1" w:styleId="218">
    <w:name w:val="标准文件_索引项"/>
    <w:basedOn w:val="64"/>
    <w:next w:val="64"/>
    <w:qFormat/>
    <w:uiPriority w:val="0"/>
    <w:pPr>
      <w:tabs>
        <w:tab w:val="right" w:leader="dot" w:pos="9356"/>
      </w:tabs>
      <w:ind w:left="210" w:hanging="210" w:firstLineChars="0"/>
      <w:jc w:val="left"/>
    </w:pPr>
  </w:style>
  <w:style w:type="paragraph" w:customStyle="1" w:styleId="219">
    <w:name w:val="标准文件_附录一级无标题"/>
    <w:basedOn w:val="86"/>
    <w:qFormat/>
    <w:uiPriority w:val="0"/>
    <w:pPr>
      <w:spacing w:before="0" w:beforeLines="0" w:after="0" w:afterLines="0" w:line="276" w:lineRule="auto"/>
      <w:outlineLvl w:val="9"/>
    </w:pPr>
    <w:rPr>
      <w:rFonts w:ascii="宋体" w:eastAsia="宋体"/>
    </w:rPr>
  </w:style>
  <w:style w:type="paragraph" w:customStyle="1" w:styleId="220">
    <w:name w:val="标准文件_附录二级无标题"/>
    <w:basedOn w:val="87"/>
    <w:qFormat/>
    <w:uiPriority w:val="0"/>
    <w:pPr>
      <w:spacing w:before="0" w:beforeLines="0" w:after="0" w:afterLines="0" w:line="276" w:lineRule="auto"/>
      <w:outlineLvl w:val="9"/>
    </w:pPr>
    <w:rPr>
      <w:rFonts w:ascii="宋体" w:eastAsia="宋体"/>
    </w:rPr>
  </w:style>
  <w:style w:type="paragraph" w:customStyle="1" w:styleId="221">
    <w:name w:val="标准文件_附录三级无标题"/>
    <w:basedOn w:val="89"/>
    <w:qFormat/>
    <w:uiPriority w:val="0"/>
    <w:pPr>
      <w:spacing w:before="0" w:beforeLines="0" w:after="0" w:afterLines="0" w:line="276" w:lineRule="auto"/>
      <w:outlineLvl w:val="9"/>
    </w:pPr>
    <w:rPr>
      <w:rFonts w:ascii="宋体" w:eastAsia="宋体"/>
    </w:rPr>
  </w:style>
  <w:style w:type="paragraph" w:customStyle="1" w:styleId="222">
    <w:name w:val="标准文件_附录四级无标题"/>
    <w:basedOn w:val="90"/>
    <w:qFormat/>
    <w:uiPriority w:val="0"/>
    <w:pPr>
      <w:spacing w:before="0" w:beforeLines="0" w:after="0" w:afterLines="0" w:line="276" w:lineRule="auto"/>
      <w:outlineLvl w:val="9"/>
    </w:pPr>
    <w:rPr>
      <w:rFonts w:ascii="宋体" w:eastAsia="宋体"/>
    </w:rPr>
  </w:style>
  <w:style w:type="paragraph" w:customStyle="1" w:styleId="223">
    <w:name w:val="标准文件_附录五级无标题"/>
    <w:basedOn w:val="92"/>
    <w:qFormat/>
    <w:uiPriority w:val="0"/>
    <w:pPr>
      <w:spacing w:before="0" w:beforeLines="0" w:after="0" w:afterLines="0" w:line="276" w:lineRule="auto"/>
      <w:outlineLvl w:val="9"/>
    </w:pPr>
    <w:rPr>
      <w:rFonts w:ascii="宋体" w:eastAsia="宋体"/>
    </w:rPr>
  </w:style>
  <w:style w:type="paragraph" w:customStyle="1" w:styleId="224">
    <w:name w:val="标准文件_引言一级无标题"/>
    <w:basedOn w:val="208"/>
    <w:next w:val="64"/>
    <w:qFormat/>
    <w:uiPriority w:val="0"/>
    <w:pPr>
      <w:spacing w:before="0" w:beforeLines="0" w:after="0" w:afterLines="0" w:line="276" w:lineRule="auto"/>
    </w:pPr>
    <w:rPr>
      <w:rFonts w:ascii="宋体" w:eastAsia="宋体"/>
    </w:rPr>
  </w:style>
  <w:style w:type="paragraph" w:customStyle="1" w:styleId="225">
    <w:name w:val="标准文件_引言二级无标题"/>
    <w:basedOn w:val="209"/>
    <w:next w:val="64"/>
    <w:qFormat/>
    <w:uiPriority w:val="0"/>
    <w:pPr>
      <w:spacing w:before="0" w:beforeLines="0" w:after="0" w:afterLines="0" w:line="276" w:lineRule="auto"/>
    </w:pPr>
    <w:rPr>
      <w:rFonts w:ascii="宋体" w:eastAsia="宋体"/>
    </w:rPr>
  </w:style>
  <w:style w:type="paragraph" w:customStyle="1" w:styleId="226">
    <w:name w:val="标准文件_引言三级无标题"/>
    <w:basedOn w:val="210"/>
    <w:qFormat/>
    <w:uiPriority w:val="0"/>
    <w:pPr>
      <w:spacing w:before="0" w:beforeLines="0" w:after="0" w:afterLines="0" w:line="276" w:lineRule="auto"/>
    </w:pPr>
    <w:rPr>
      <w:rFonts w:ascii="宋体" w:eastAsia="宋体"/>
    </w:rPr>
  </w:style>
  <w:style w:type="paragraph" w:customStyle="1" w:styleId="227">
    <w:name w:val="标准文件_引言四级无标题"/>
    <w:basedOn w:val="211"/>
    <w:next w:val="64"/>
    <w:qFormat/>
    <w:uiPriority w:val="0"/>
    <w:pPr>
      <w:spacing w:before="0" w:beforeLines="0" w:after="0" w:afterLines="0" w:line="276" w:lineRule="auto"/>
    </w:pPr>
    <w:rPr>
      <w:rFonts w:ascii="宋体" w:eastAsia="宋体"/>
    </w:rPr>
  </w:style>
  <w:style w:type="paragraph" w:customStyle="1" w:styleId="228">
    <w:name w:val="标准文件_引言五级无标题"/>
    <w:basedOn w:val="212"/>
    <w:next w:val="64"/>
    <w:qFormat/>
    <w:uiPriority w:val="0"/>
    <w:pPr>
      <w:spacing w:before="0" w:beforeLines="0" w:after="0" w:afterLines="0" w:line="276" w:lineRule="auto"/>
    </w:pPr>
    <w:rPr>
      <w:rFonts w:ascii="宋体" w:eastAsia="宋体"/>
    </w:rPr>
  </w:style>
  <w:style w:type="paragraph" w:customStyle="1" w:styleId="229">
    <w:name w:val="标准文件_索引标题"/>
    <w:basedOn w:val="71"/>
    <w:next w:val="64"/>
    <w:qFormat/>
    <w:uiPriority w:val="0"/>
    <w:rPr>
      <w:rFonts w:hAnsi="黑体"/>
    </w:rPr>
  </w:style>
  <w:style w:type="paragraph" w:customStyle="1" w:styleId="230">
    <w:name w:val="标准文件_脚注内容"/>
    <w:basedOn w:val="64"/>
    <w:qFormat/>
    <w:uiPriority w:val="0"/>
    <w:pPr>
      <w:ind w:left="400" w:leftChars="200" w:hanging="200" w:hangingChars="200"/>
    </w:pPr>
    <w:rPr>
      <w:sz w:val="15"/>
    </w:rPr>
  </w:style>
  <w:style w:type="paragraph" w:customStyle="1" w:styleId="231">
    <w:name w:val="标准文件_术语条一"/>
    <w:basedOn w:val="170"/>
    <w:next w:val="64"/>
    <w:qFormat/>
    <w:uiPriority w:val="0"/>
  </w:style>
  <w:style w:type="paragraph" w:customStyle="1" w:styleId="232">
    <w:name w:val="标准文件_术语条二"/>
    <w:basedOn w:val="173"/>
    <w:next w:val="64"/>
    <w:qFormat/>
    <w:uiPriority w:val="0"/>
  </w:style>
  <w:style w:type="paragraph" w:customStyle="1" w:styleId="233">
    <w:name w:val="标准文件_术语条三"/>
    <w:basedOn w:val="172"/>
    <w:next w:val="64"/>
    <w:qFormat/>
    <w:uiPriority w:val="0"/>
  </w:style>
  <w:style w:type="paragraph" w:customStyle="1" w:styleId="234">
    <w:name w:val="标准文件_术语条四"/>
    <w:basedOn w:val="175"/>
    <w:next w:val="64"/>
    <w:qFormat/>
    <w:uiPriority w:val="0"/>
  </w:style>
  <w:style w:type="paragraph" w:customStyle="1" w:styleId="235">
    <w:name w:val="标准文件_术语条五"/>
    <w:basedOn w:val="171"/>
    <w:next w:val="64"/>
    <w:qFormat/>
    <w:uiPriority w:val="0"/>
  </w:style>
  <w:style w:type="paragraph" w:customStyle="1" w:styleId="23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7">
    <w:name w:val="发布"/>
    <w:basedOn w:val="35"/>
    <w:qFormat/>
    <w:uiPriority w:val="0"/>
    <w:rPr>
      <w:rFonts w:ascii="黑体" w:eastAsia="黑体"/>
      <w:spacing w:val="85"/>
      <w:w w:val="100"/>
      <w:position w:val="3"/>
      <w:sz w:val="28"/>
      <w:szCs w:val="28"/>
    </w:rPr>
  </w:style>
  <w:style w:type="paragraph" w:customStyle="1" w:styleId="238">
    <w:name w:val="段"/>
    <w:link w:val="23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9">
    <w:name w:val="段 Char"/>
    <w:link w:val="238"/>
    <w:qFormat/>
    <w:uiPriority w:val="0"/>
    <w:rPr>
      <w:rFonts w:ascii="宋体" w:hAnsi="Times New Roman"/>
      <w:sz w:val="21"/>
    </w:rPr>
  </w:style>
  <w:style w:type="paragraph" w:customStyle="1" w:styleId="240">
    <w:name w:val="前言、引言标题"/>
    <w:next w:val="238"/>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character" w:customStyle="1" w:styleId="241">
    <w:name w:val="批注文字 Char"/>
    <w:basedOn w:val="35"/>
    <w:link w:val="13"/>
    <w:qFormat/>
    <w:uiPriority w:val="0"/>
    <w:rPr>
      <w:rFonts w:ascii="等线" w:hAnsi="等线" w:eastAsia="等线"/>
      <w:kern w:val="2"/>
      <w:sz w:val="21"/>
      <w:szCs w:val="22"/>
    </w:rPr>
  </w:style>
  <w:style w:type="character" w:customStyle="1" w:styleId="242">
    <w:name w:val="纯文本 Char"/>
    <w:basedOn w:val="35"/>
    <w:link w:val="18"/>
    <w:qFormat/>
    <w:uiPriority w:val="99"/>
    <w:rPr>
      <w:rFonts w:ascii="等线" w:hAnsi="Courier New" w:eastAsia="等线" w:cs="Courier New"/>
      <w:kern w:val="2"/>
      <w:sz w:val="21"/>
      <w:szCs w:val="24"/>
    </w:rPr>
  </w:style>
  <w:style w:type="character" w:customStyle="1" w:styleId="243">
    <w:name w:val="日期 Char"/>
    <w:basedOn w:val="35"/>
    <w:link w:val="20"/>
    <w:qFormat/>
    <w:uiPriority w:val="99"/>
    <w:rPr>
      <w:rFonts w:ascii="Times New Roman" w:hAnsi="Times New Roman"/>
      <w:kern w:val="2"/>
      <w:sz w:val="21"/>
      <w:szCs w:val="24"/>
    </w:rPr>
  </w:style>
  <w:style w:type="character" w:customStyle="1" w:styleId="244">
    <w:name w:val="批注主题 Char"/>
    <w:basedOn w:val="241"/>
    <w:link w:val="32"/>
    <w:qFormat/>
    <w:uiPriority w:val="99"/>
    <w:rPr>
      <w:rFonts w:ascii="Times New Roman" w:hAnsi="Times New Roman" w:eastAsia="等线"/>
      <w:b/>
      <w:bCs/>
      <w:kern w:val="2"/>
      <w:sz w:val="21"/>
      <w:szCs w:val="24"/>
    </w:rPr>
  </w:style>
  <w:style w:type="paragraph" w:customStyle="1" w:styleId="2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246">
    <w:name w:val="目次、标准名称标题"/>
    <w:basedOn w:val="1"/>
    <w:next w:val="238"/>
    <w:qFormat/>
    <w:uiPriority w:val="0"/>
    <w:pPr>
      <w:keepNext/>
      <w:pageBreakBefore/>
      <w:widowControl/>
      <w:shd w:val="clear" w:color="FFFFFF" w:fill="FFFFFF"/>
      <w:adjustRightInd/>
      <w:spacing w:before="640" w:after="560" w:line="460" w:lineRule="exact"/>
      <w:jc w:val="center"/>
      <w:outlineLvl w:val="0"/>
    </w:pPr>
    <w:rPr>
      <w:rFonts w:ascii="黑体" w:hAnsi="Times New Roman" w:eastAsia="黑体"/>
      <w:kern w:val="0"/>
      <w:sz w:val="32"/>
      <w:szCs w:val="20"/>
    </w:rPr>
  </w:style>
  <w:style w:type="paragraph" w:customStyle="1" w:styleId="247">
    <w:name w:val="其他标准标志"/>
    <w:basedOn w:val="1"/>
    <w:qFormat/>
    <w:uiPriority w:val="0"/>
    <w:pPr>
      <w:framePr w:w="6101" w:h="1389" w:hRule="exact" w:hSpace="181" w:vSpace="181" w:wrap="around" w:vAnchor="page" w:hAnchor="page" w:x="4673" w:y="942" w:anchorLock="1"/>
      <w:widowControl/>
      <w:shd w:val="solid" w:color="FFFFFF" w:fill="FFFFFF"/>
      <w:adjustRightInd/>
      <w:spacing w:line="0" w:lineRule="atLeast"/>
      <w:jc w:val="right"/>
    </w:pPr>
    <w:rPr>
      <w:rFonts w:ascii="Times New Roman" w:hAnsi="Times New Roman"/>
      <w:b/>
      <w:w w:val="130"/>
      <w:kern w:val="0"/>
      <w:sz w:val="96"/>
      <w:szCs w:val="96"/>
    </w:rPr>
  </w:style>
  <w:style w:type="paragraph" w:customStyle="1" w:styleId="248">
    <w:name w:val="一级条标题"/>
    <w:next w:val="238"/>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49">
    <w:name w:val="章标题"/>
    <w:next w:val="238"/>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50">
    <w:name w:val="二级条标题"/>
    <w:basedOn w:val="248"/>
    <w:next w:val="238"/>
    <w:qFormat/>
    <w:uiPriority w:val="0"/>
    <w:pPr>
      <w:numPr>
        <w:ilvl w:val="2"/>
      </w:numPr>
      <w:spacing w:before="50" w:after="50"/>
      <w:jc w:val="both"/>
      <w:outlineLvl w:val="3"/>
    </w:pPr>
  </w:style>
  <w:style w:type="paragraph" w:customStyle="1" w:styleId="251">
    <w:name w:val="三级条标题"/>
    <w:basedOn w:val="250"/>
    <w:next w:val="238"/>
    <w:qFormat/>
    <w:uiPriority w:val="0"/>
    <w:pPr>
      <w:numPr>
        <w:ilvl w:val="3"/>
      </w:numPr>
      <w:outlineLvl w:val="4"/>
    </w:pPr>
  </w:style>
  <w:style w:type="paragraph" w:customStyle="1" w:styleId="252">
    <w:name w:val="四级条标题"/>
    <w:basedOn w:val="251"/>
    <w:next w:val="238"/>
    <w:qFormat/>
    <w:uiPriority w:val="0"/>
    <w:pPr>
      <w:numPr>
        <w:ilvl w:val="4"/>
      </w:numPr>
      <w:outlineLvl w:val="5"/>
    </w:pPr>
  </w:style>
  <w:style w:type="paragraph" w:customStyle="1" w:styleId="253">
    <w:name w:val="五级条标题"/>
    <w:basedOn w:val="252"/>
    <w:next w:val="238"/>
    <w:qFormat/>
    <w:uiPriority w:val="0"/>
    <w:pPr>
      <w:numPr>
        <w:ilvl w:val="5"/>
      </w:numPr>
      <w:outlineLvl w:val="6"/>
    </w:pPr>
  </w:style>
  <w:style w:type="paragraph" w:customStyle="1" w:styleId="254">
    <w:name w:val="一级无"/>
    <w:basedOn w:val="248"/>
    <w:qFormat/>
    <w:uiPriority w:val="0"/>
    <w:pPr>
      <w:numPr>
        <w:ilvl w:val="0"/>
        <w:numId w:val="0"/>
      </w:numPr>
      <w:spacing w:beforeLines="0" w:afterLines="0"/>
    </w:pPr>
    <w:rPr>
      <w:rFonts w:ascii="宋体" w:eastAsia="宋体"/>
    </w:rPr>
  </w:style>
  <w:style w:type="paragraph" w:customStyle="1" w:styleId="255">
    <w:name w:val="附录标识"/>
    <w:basedOn w:val="1"/>
    <w:next w:val="238"/>
    <w:qFormat/>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6">
    <w:name w:val="附录二级条标题"/>
    <w:basedOn w:val="1"/>
    <w:next w:val="238"/>
    <w:qFormat/>
    <w:uiPriority w:val="0"/>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szCs w:val="20"/>
    </w:rPr>
  </w:style>
  <w:style w:type="paragraph" w:customStyle="1" w:styleId="257">
    <w:name w:val="附录三级条标题"/>
    <w:basedOn w:val="256"/>
    <w:next w:val="238"/>
    <w:qFormat/>
    <w:uiPriority w:val="0"/>
    <w:pPr>
      <w:outlineLvl w:val="4"/>
    </w:pPr>
  </w:style>
  <w:style w:type="paragraph" w:customStyle="1" w:styleId="258">
    <w:name w:val="附录四级条标题"/>
    <w:basedOn w:val="257"/>
    <w:next w:val="238"/>
    <w:qFormat/>
    <w:uiPriority w:val="0"/>
    <w:pPr>
      <w:outlineLvl w:val="5"/>
    </w:pPr>
  </w:style>
  <w:style w:type="paragraph" w:customStyle="1" w:styleId="259">
    <w:name w:val="附录五级条标题"/>
    <w:basedOn w:val="258"/>
    <w:next w:val="238"/>
    <w:qFormat/>
    <w:uiPriority w:val="0"/>
    <w:pPr>
      <w:outlineLvl w:val="6"/>
    </w:pPr>
  </w:style>
  <w:style w:type="paragraph" w:customStyle="1" w:styleId="260">
    <w:name w:val="附录章标题"/>
    <w:next w:val="238"/>
    <w:qFormat/>
    <w:uiPriority w:val="0"/>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61">
    <w:name w:val="附录一级条标题"/>
    <w:basedOn w:val="260"/>
    <w:next w:val="238"/>
    <w:qFormat/>
    <w:uiPriority w:val="0"/>
    <w:pPr>
      <w:autoSpaceDN w:val="0"/>
      <w:spacing w:beforeLines="50" w:afterLines="50"/>
      <w:outlineLvl w:val="2"/>
    </w:pPr>
  </w:style>
  <w:style w:type="paragraph" w:customStyle="1" w:styleId="262">
    <w:name w:val="参考文献"/>
    <w:basedOn w:val="1"/>
    <w:next w:val="238"/>
    <w:qFormat/>
    <w:uiPriority w:val="0"/>
    <w:pPr>
      <w:keepNext/>
      <w:pageBreakBefore/>
      <w:widowControl/>
      <w:shd w:val="clear" w:color="FFFFFF" w:fill="FFFFFF"/>
      <w:adjustRightInd/>
      <w:spacing w:before="640" w:after="200" w:line="240" w:lineRule="auto"/>
      <w:jc w:val="center"/>
      <w:outlineLvl w:val="0"/>
    </w:pPr>
    <w:rPr>
      <w:rFonts w:ascii="黑体" w:hAnsi="Times New Roman" w:eastAsia="黑体"/>
      <w:kern w:val="0"/>
      <w:szCs w:val="20"/>
    </w:rPr>
  </w:style>
  <w:style w:type="character" w:customStyle="1" w:styleId="263">
    <w:name w:val="批注文字 字符1"/>
    <w:basedOn w:val="35"/>
    <w:semiHidden/>
    <w:qFormat/>
    <w:uiPriority w:val="99"/>
    <w:rPr>
      <w:rFonts w:ascii="Times New Roman" w:hAnsi="Times New Roman" w:eastAsia="宋体" w:cs="Times New Roman"/>
      <w:szCs w:val="24"/>
    </w:rPr>
  </w:style>
  <w:style w:type="paragraph" w:styleId="264">
    <w:name w:val="List Paragraph"/>
    <w:basedOn w:val="1"/>
    <w:qFormat/>
    <w:uiPriority w:val="34"/>
    <w:pPr>
      <w:adjustRightInd/>
      <w:spacing w:line="240" w:lineRule="auto"/>
      <w:ind w:firstLine="420" w:firstLineChars="200"/>
    </w:pPr>
    <w:rPr>
      <w:rFonts w:ascii="Times New Roman" w:hAnsi="Times New Roman"/>
      <w:szCs w:val="24"/>
    </w:rPr>
  </w:style>
  <w:style w:type="paragraph" w:customStyle="1" w:styleId="265">
    <w:name w:val="TOC 标题1"/>
    <w:basedOn w:val="2"/>
    <w:next w:val="1"/>
    <w:unhideWhenUsed/>
    <w:qFormat/>
    <w:uiPriority w:val="39"/>
    <w:pPr>
      <w:widowControl/>
      <w:adjustRightInd/>
      <w:spacing w:before="240" w:after="0" w:line="259" w:lineRule="auto"/>
      <w:jc w:val="left"/>
      <w:outlineLvl w:val="9"/>
    </w:pPr>
    <w:rPr>
      <w:rFonts w:ascii="等线 Light" w:hAnsi="等线 Light" w:eastAsia="等线 Light"/>
      <w:b w:val="0"/>
      <w:bCs w:val="0"/>
      <w:color w:val="2F5496"/>
      <w:kern w:val="0"/>
      <w:sz w:val="32"/>
      <w:szCs w:val="32"/>
    </w:rPr>
  </w:style>
  <w:style w:type="table" w:customStyle="1" w:styleId="266">
    <w:name w:val="网格型1"/>
    <w:basedOn w:val="3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网格型2"/>
    <w:basedOn w:val="3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网格型3"/>
    <w:basedOn w:val="3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
    <w:name w:val="网格型4"/>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0">
    <w:name w:val="修订1"/>
    <w:semiHidden/>
    <w:qFormat/>
    <w:uiPriority w:val="99"/>
    <w:rPr>
      <w:rFonts w:ascii="Times New Roman" w:hAnsi="Times New Roman" w:eastAsia="宋体" w:cs="Times New Roman"/>
      <w:kern w:val="2"/>
      <w:sz w:val="21"/>
      <w:szCs w:val="24"/>
      <w:lang w:val="en-US" w:eastAsia="zh-CN" w:bidi="ar-SA"/>
    </w:rPr>
  </w:style>
  <w:style w:type="table" w:customStyle="1" w:styleId="271">
    <w:name w:val="网格型5"/>
    <w:basedOn w:val="3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网格型11"/>
    <w:basedOn w:val="3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网格型21"/>
    <w:basedOn w:val="3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网格型31"/>
    <w:basedOn w:val="3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网格型41"/>
    <w:basedOn w:val="3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6">
    <w:name w:val="修订2"/>
    <w:unhideWhenUsed/>
    <w:qFormat/>
    <w:uiPriority w:val="99"/>
    <w:rPr>
      <w:rFonts w:ascii="Times New Roman" w:hAnsi="Times New Roman" w:eastAsia="宋体" w:cs="Times New Roman"/>
      <w:kern w:val="2"/>
      <w:sz w:val="21"/>
      <w:szCs w:val="24"/>
      <w:lang w:val="en-US" w:eastAsia="zh-CN" w:bidi="ar-SA"/>
    </w:rPr>
  </w:style>
  <w:style w:type="character" w:customStyle="1" w:styleId="277">
    <w:name w:val="未处理的提及1"/>
    <w:basedOn w:val="35"/>
    <w:semiHidden/>
    <w:unhideWhenUsed/>
    <w:qFormat/>
    <w:uiPriority w:val="99"/>
    <w:rPr>
      <w:color w:val="605E5C"/>
      <w:shd w:val="clear" w:color="auto" w:fill="E1DFDD"/>
    </w:rPr>
  </w:style>
  <w:style w:type="paragraph" w:customStyle="1" w:styleId="278">
    <w:name w:val="修订3"/>
    <w:hidden/>
    <w:unhideWhenUsed/>
    <w:qFormat/>
    <w:uiPriority w:val="99"/>
    <w:rPr>
      <w:rFonts w:ascii="Calibri" w:hAnsi="Calibri" w:eastAsia="宋体" w:cs="Times New Roman"/>
      <w:kern w:val="2"/>
      <w:sz w:val="21"/>
      <w:szCs w:val="21"/>
      <w:lang w:val="en-US" w:eastAsia="zh-CN" w:bidi="ar-SA"/>
    </w:rPr>
  </w:style>
  <w:style w:type="paragraph" w:customStyle="1" w:styleId="279">
    <w:name w:val="Revision"/>
    <w:hidden/>
    <w:unhideWhenUsed/>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2.jpe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emf"/><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CED7D48FBD0465A8F3C2831599A7869"/>
        <w:style w:val=""/>
        <w:category>
          <w:name w:val="常规"/>
          <w:gallery w:val="placeholder"/>
        </w:category>
        <w:types>
          <w:type w:val="bbPlcHdr"/>
        </w:types>
        <w:behaviors>
          <w:behavior w:val="content"/>
        </w:behaviors>
        <w:description w:val=""/>
        <w:guid w:val="{B78BC14C-5C58-4D41-9C02-6CD8B2A20E96}"/>
      </w:docPartPr>
      <w:docPartBody>
        <w:p w14:paraId="5BBAA8DD">
          <w:pPr>
            <w:pStyle w:val="5"/>
          </w:pPr>
          <w:r>
            <w:rPr>
              <w:rStyle w:val="4"/>
              <w:rFonts w:hint="eastAsia"/>
            </w:rPr>
            <w:t>单击或点击此处输入文字。</w:t>
          </w:r>
        </w:p>
      </w:docPartBody>
    </w:docPart>
    <w:docPart>
      <w:docPartPr>
        <w:name w:val="C3CE9DFE929F421EB06FA7A9FC39C8C7"/>
        <w:style w:val=""/>
        <w:category>
          <w:name w:val="常规"/>
          <w:gallery w:val="placeholder"/>
        </w:category>
        <w:types>
          <w:type w:val="bbPlcHdr"/>
        </w:types>
        <w:behaviors>
          <w:behavior w:val="content"/>
        </w:behaviors>
        <w:description w:val=""/>
        <w:guid w:val="{B060382F-B8BF-4AAA-AE2E-BB11CC674308}"/>
      </w:docPartPr>
      <w:docPartBody>
        <w:p w14:paraId="77EB9FA0">
          <w:pPr>
            <w:pStyle w:val="6"/>
          </w:pPr>
          <w:r>
            <w:rPr>
              <w:rStyle w:val="4"/>
              <w:rFonts w:hint="eastAsia"/>
            </w:rPr>
            <w:t>选择一项。</w:t>
          </w:r>
        </w:p>
      </w:docPartBody>
    </w:docPart>
    <w:docPart>
      <w:docPartPr>
        <w:name w:val="8D6EE4D257B542CC9AD18994557E1E09"/>
        <w:style w:val=""/>
        <w:category>
          <w:name w:val="常规"/>
          <w:gallery w:val="placeholder"/>
        </w:category>
        <w:types>
          <w:type w:val="bbPlcHdr"/>
        </w:types>
        <w:behaviors>
          <w:behavior w:val="content"/>
        </w:behaviors>
        <w:description w:val=""/>
        <w:guid w:val="{A1AA9DCB-35F1-44E6-8B8C-30635FB50699}"/>
      </w:docPartPr>
      <w:docPartBody>
        <w:p w14:paraId="6FF05888">
          <w:pPr>
            <w:pStyle w:val="7"/>
          </w:pPr>
          <w:r>
            <w:rPr>
              <w:rStyle w:val="4"/>
              <w:rFonts w:hint="eastAsia"/>
            </w:rPr>
            <w:t>单击或点击此处输入文字。</w:t>
          </w:r>
        </w:p>
      </w:docPartBody>
    </w:docPart>
    <w:docPart>
      <w:docPartPr>
        <w:name w:val="C62E09455C5D4931872655486B0BB883"/>
        <w:style w:val=""/>
        <w:category>
          <w:name w:val="常规"/>
          <w:gallery w:val="placeholder"/>
        </w:category>
        <w:types>
          <w:type w:val="bbPlcHdr"/>
        </w:types>
        <w:behaviors>
          <w:behavior w:val="content"/>
        </w:behaviors>
        <w:description w:val=""/>
        <w:guid w:val="{DED53D5A-CBFF-428C-A4CC-7D51A205999E}"/>
      </w:docPartPr>
      <w:docPartBody>
        <w:p w14:paraId="2F724087">
          <w:pPr>
            <w:pStyle w:val="8"/>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F8"/>
    <w:rsid w:val="000F28E2"/>
    <w:rsid w:val="00117219"/>
    <w:rsid w:val="00145095"/>
    <w:rsid w:val="00167A08"/>
    <w:rsid w:val="0018249E"/>
    <w:rsid w:val="001D7270"/>
    <w:rsid w:val="0020230A"/>
    <w:rsid w:val="002F33F8"/>
    <w:rsid w:val="003F1D52"/>
    <w:rsid w:val="003F4D7F"/>
    <w:rsid w:val="004A70C1"/>
    <w:rsid w:val="004B693F"/>
    <w:rsid w:val="004B69F3"/>
    <w:rsid w:val="004E2CDC"/>
    <w:rsid w:val="005B0A35"/>
    <w:rsid w:val="00674671"/>
    <w:rsid w:val="00683202"/>
    <w:rsid w:val="006C3EED"/>
    <w:rsid w:val="006C4B4B"/>
    <w:rsid w:val="00754A7F"/>
    <w:rsid w:val="00791AF8"/>
    <w:rsid w:val="008549D4"/>
    <w:rsid w:val="0087417B"/>
    <w:rsid w:val="008D2991"/>
    <w:rsid w:val="00931E4E"/>
    <w:rsid w:val="00966070"/>
    <w:rsid w:val="009704C5"/>
    <w:rsid w:val="00A762C3"/>
    <w:rsid w:val="00A962D6"/>
    <w:rsid w:val="00AA79C4"/>
    <w:rsid w:val="00AC748F"/>
    <w:rsid w:val="00B4402E"/>
    <w:rsid w:val="00B8030E"/>
    <w:rsid w:val="00BB63A3"/>
    <w:rsid w:val="00BC1213"/>
    <w:rsid w:val="00BF0B07"/>
    <w:rsid w:val="00C21683"/>
    <w:rsid w:val="00C507DA"/>
    <w:rsid w:val="00C7566F"/>
    <w:rsid w:val="00D013DF"/>
    <w:rsid w:val="00D720CA"/>
    <w:rsid w:val="00EA15D8"/>
    <w:rsid w:val="00F4093D"/>
    <w:rsid w:val="00F92B9C"/>
    <w:rsid w:val="00FF0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CED7D48FBD0465A8F3C2831599A786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C3CE9DFE929F421EB06FA7A9FC39C8C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8D6EE4D257B542CC9AD18994557E1E0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8">
    <w:name w:val="C62E09455C5D4931872655486B0BB88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23</Pages>
  <Words>2585</Words>
  <Characters>3483</Characters>
  <Lines>117</Lines>
  <Paragraphs>33</Paragraphs>
  <TotalTime>41</TotalTime>
  <ScaleCrop>false</ScaleCrop>
  <LinksUpToDate>false</LinksUpToDate>
  <CharactersWithSpaces>4201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2024-11-30T14:26:00Z</dcterms:created>
  <dc:creator>fangtao liu</dc:creator>
  <cp:lastModifiedBy>韩意欣</cp:lastModifiedBy>
  <cp:lastPrinted>2020-08-30T10:00:00Z</cp:lastPrinted>
  <dcterms:modified xsi:type="dcterms:W3CDTF">2025-04-02T09:22:13Z</dcterms:modified>
  <dc:title>地方标准</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1BCF364BB283406EB4C3DFA030484F91_13</vt:lpwstr>
  </property>
  <property fmtid="{D5CDD505-2E9C-101B-9397-08002B2CF9AE}" pid="16" name="KSOTemplateDocerSaveRecord">
    <vt:lpwstr>eyJoZGlkIjoiMTAwNDAxYTVkYjIxMTYyMjMwNzMxN2NkNzg5OTE1MzUiLCJ1c2VySWQiOiIxNjU1MzkxOTg1In0=</vt:lpwstr>
  </property>
</Properties>
</file>